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984" w:type="dxa"/>
        <w:tblLayout w:type="fixed"/>
        <w:tblLook w:val="04A0" w:firstRow="1" w:lastRow="0" w:firstColumn="1" w:lastColumn="0" w:noHBand="0" w:noVBand="1"/>
      </w:tblPr>
      <w:tblGrid>
        <w:gridCol w:w="5353"/>
        <w:gridCol w:w="4890"/>
        <w:gridCol w:w="5741"/>
      </w:tblGrid>
      <w:tr w:rsidR="00246754" w:rsidRPr="00297A65" w14:paraId="4DDB33E0" w14:textId="77777777" w:rsidTr="006823D1">
        <w:tc>
          <w:tcPr>
            <w:tcW w:w="15984" w:type="dxa"/>
            <w:gridSpan w:val="3"/>
          </w:tcPr>
          <w:p w14:paraId="6C5181F4" w14:textId="31B9FE6B" w:rsidR="006823D1" w:rsidRPr="00297A65" w:rsidRDefault="00F040CF" w:rsidP="008C4C41">
            <w:pPr>
              <w:rPr>
                <w:b/>
              </w:rPr>
            </w:pPr>
            <w:bookmarkStart w:id="0" w:name="_GoBack"/>
            <w:bookmarkEnd w:id="0"/>
            <w:r>
              <w:rPr>
                <w:b/>
                <w:sz w:val="32"/>
                <w:szCs w:val="32"/>
              </w:rPr>
              <w:t xml:space="preserve">From </w:t>
            </w:r>
            <w:r w:rsidR="00246754" w:rsidRPr="008C4C41">
              <w:rPr>
                <w:b/>
                <w:sz w:val="32"/>
                <w:szCs w:val="32"/>
              </w:rPr>
              <w:t xml:space="preserve">2018 </w:t>
            </w:r>
            <w:r w:rsidR="00B97712" w:rsidRPr="008C4C41">
              <w:rPr>
                <w:b/>
                <w:sz w:val="32"/>
                <w:szCs w:val="32"/>
              </w:rPr>
              <w:t>End of KS2</w:t>
            </w:r>
            <w:r w:rsidR="00246754" w:rsidRPr="008C4C41">
              <w:rPr>
                <w:b/>
                <w:sz w:val="32"/>
                <w:szCs w:val="32"/>
              </w:rPr>
              <w:t xml:space="preserve"> writing standards: writing at greater depth</w:t>
            </w:r>
            <w:r w:rsidR="007D704B" w:rsidRPr="008C4C41">
              <w:rPr>
                <w:b/>
                <w:sz w:val="32"/>
                <w:szCs w:val="32"/>
              </w:rPr>
              <w:t xml:space="preserve">   </w:t>
            </w:r>
            <w:r w:rsidR="007D704B" w:rsidRPr="008C4C41">
              <w:rPr>
                <w:b/>
                <w:noProof/>
                <w:lang w:eastAsia="en-GB"/>
              </w:rPr>
              <w:t xml:space="preserve">                                                                    </w:t>
            </w:r>
            <w:r w:rsidR="00C21CED" w:rsidRPr="008C4C41">
              <w:rPr>
                <w:b/>
                <w:noProof/>
                <w:lang w:eastAsia="en-GB"/>
              </w:rPr>
              <w:t xml:space="preserve"> </w:t>
            </w:r>
            <w:r w:rsidR="007D704B" w:rsidRPr="00297A65">
              <w:rPr>
                <w:b/>
                <w:noProof/>
                <w:lang w:eastAsia="en-GB"/>
              </w:rPr>
              <w:drawing>
                <wp:inline distT="0" distB="0" distL="0" distR="0" wp14:anchorId="78D33F71" wp14:editId="5B35B9FA">
                  <wp:extent cx="2152996" cy="2329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tle_1.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2310" cy="232853"/>
                          </a:xfrm>
                          <a:prstGeom prst="rect">
                            <a:avLst/>
                          </a:prstGeom>
                        </pic:spPr>
                      </pic:pic>
                    </a:graphicData>
                  </a:graphic>
                </wp:inline>
              </w:drawing>
            </w:r>
          </w:p>
          <w:p w14:paraId="0DF367A1" w14:textId="77777777" w:rsidR="00246754" w:rsidRPr="00297A65" w:rsidRDefault="00246754" w:rsidP="008C4C41">
            <w:r w:rsidRPr="00297A65">
              <w:t>The pupil can, after discussion with the teacher:</w:t>
            </w:r>
          </w:p>
        </w:tc>
      </w:tr>
      <w:tr w:rsidR="00C21CED" w:rsidRPr="00297A65" w14:paraId="116B6F6C" w14:textId="77777777" w:rsidTr="00297A65">
        <w:tc>
          <w:tcPr>
            <w:tcW w:w="5353" w:type="dxa"/>
          </w:tcPr>
          <w:p w14:paraId="6D61EE8A" w14:textId="77777777" w:rsidR="00D154E6" w:rsidRPr="00297A65" w:rsidRDefault="00D154E6" w:rsidP="008C4C41">
            <w:pPr>
              <w:pStyle w:val="BodyText"/>
              <w:ind w:left="0"/>
              <w:rPr>
                <w:rFonts w:asciiTheme="minorHAnsi" w:hAnsiTheme="minorHAnsi"/>
                <w:sz w:val="22"/>
                <w:szCs w:val="22"/>
              </w:rPr>
            </w:pPr>
            <w:r w:rsidRPr="00297A65">
              <w:rPr>
                <w:rFonts w:asciiTheme="minorHAnsi" w:hAnsiTheme="minorHAnsi"/>
                <w:sz w:val="22"/>
                <w:szCs w:val="22"/>
              </w:rPr>
              <w:t xml:space="preserve">The pupil can: </w:t>
            </w:r>
          </w:p>
          <w:p w14:paraId="61091FFD" w14:textId="77777777" w:rsidR="00C21CED" w:rsidRPr="00297A65" w:rsidRDefault="00D154E6" w:rsidP="008C4C41">
            <w:pPr>
              <w:pStyle w:val="BodyText"/>
              <w:numPr>
                <w:ilvl w:val="0"/>
                <w:numId w:val="17"/>
              </w:numPr>
              <w:rPr>
                <w:rFonts w:asciiTheme="minorHAnsi" w:hAnsiTheme="minorHAnsi"/>
                <w:sz w:val="22"/>
                <w:szCs w:val="22"/>
              </w:rPr>
            </w:pPr>
            <w:r w:rsidRPr="00297A65">
              <w:rPr>
                <w:rFonts w:asciiTheme="minorHAnsi" w:hAnsiTheme="minorHAnsi"/>
                <w:sz w:val="22"/>
                <w:szCs w:val="22"/>
              </w:rPr>
              <w:t xml:space="preserve">write effectively for a range of purposes and audiences, selecting the appropriate form and drawing independently on what they have read as models for their own writing </w:t>
            </w:r>
            <w:r w:rsidRPr="00297A65">
              <w:rPr>
                <w:rFonts w:asciiTheme="minorHAnsi" w:hAnsiTheme="minorHAnsi"/>
                <w:i/>
                <w:sz w:val="22"/>
                <w:szCs w:val="22"/>
              </w:rPr>
              <w:t xml:space="preserve">(e.g. literary language, characterisation, structure) </w:t>
            </w:r>
            <w:r w:rsidRPr="00297A65">
              <w:rPr>
                <w:rFonts w:asciiTheme="minorHAnsi" w:hAnsiTheme="minorHAnsi"/>
                <w:sz w:val="22"/>
                <w:szCs w:val="22"/>
              </w:rPr>
              <w:t xml:space="preserve">       </w:t>
            </w:r>
          </w:p>
        </w:tc>
        <w:tc>
          <w:tcPr>
            <w:tcW w:w="10631" w:type="dxa"/>
            <w:gridSpan w:val="2"/>
          </w:tcPr>
          <w:p w14:paraId="361D107E" w14:textId="77777777" w:rsidR="00C21CED" w:rsidRPr="00297A65" w:rsidRDefault="00C21CED" w:rsidP="008C4C41">
            <w:r w:rsidRPr="008C4C41">
              <w:rPr>
                <w:i/>
              </w:rPr>
              <w:t>A selection from:</w:t>
            </w:r>
            <w:r w:rsidRPr="00297A65">
              <w:t xml:space="preserve"> </w:t>
            </w:r>
            <w:r w:rsidR="008C4C41" w:rsidRPr="008C4C41">
              <w:rPr>
                <w:i/>
              </w:rPr>
              <w:t>(</w:t>
            </w:r>
            <w:r w:rsidR="00DD05AA">
              <w:rPr>
                <w:i/>
              </w:rPr>
              <w:t xml:space="preserve">this is the range in the </w:t>
            </w:r>
            <w:r w:rsidR="008C4C41" w:rsidRPr="008C4C41">
              <w:rPr>
                <w:i/>
              </w:rPr>
              <w:t xml:space="preserve">KS2 STA writing exemplification </w:t>
            </w:r>
            <w:r w:rsidR="00DD05AA">
              <w:rPr>
                <w:i/>
              </w:rPr>
              <w:t xml:space="preserve">materials </w:t>
            </w:r>
            <w:r w:rsidR="008C4C41" w:rsidRPr="008C4C41">
              <w:rPr>
                <w:i/>
              </w:rPr>
              <w:t>2018)</w:t>
            </w:r>
          </w:p>
          <w:p w14:paraId="140E749D" w14:textId="77777777" w:rsidR="008C4C41" w:rsidRDefault="00D154E6" w:rsidP="008C4C41">
            <w:r w:rsidRPr="00297A65">
              <w:t xml:space="preserve">Balanced argument    </w:t>
            </w:r>
            <w:r w:rsidR="008C4C41">
              <w:t xml:space="preserve">                  </w:t>
            </w:r>
            <w:r w:rsidRPr="00297A65">
              <w:t>Biography</w:t>
            </w:r>
            <w:r w:rsidRPr="00297A65">
              <w:tab/>
              <w:t xml:space="preserve">    </w:t>
            </w:r>
            <w:r w:rsidR="008C4C41">
              <w:t xml:space="preserve">          </w:t>
            </w:r>
            <w:r w:rsidRPr="00297A65">
              <w:t xml:space="preserve">Description    </w:t>
            </w:r>
            <w:r w:rsidR="008C4C41">
              <w:t xml:space="preserve">                    </w:t>
            </w:r>
            <w:r w:rsidRPr="00297A65">
              <w:t xml:space="preserve">Diary     </w:t>
            </w:r>
            <w:r w:rsidR="008C4C41">
              <w:t xml:space="preserve">                          </w:t>
            </w:r>
            <w:r w:rsidRPr="00297A65">
              <w:t xml:space="preserve">Explanation     Information     </w:t>
            </w:r>
            <w:r w:rsidR="008C4C41">
              <w:t xml:space="preserve">                               </w:t>
            </w:r>
            <w:r w:rsidRPr="00297A65">
              <w:t xml:space="preserve">Letter     </w:t>
            </w:r>
            <w:r w:rsidR="008C4C41">
              <w:t xml:space="preserve">                            </w:t>
            </w:r>
            <w:r w:rsidRPr="00297A65">
              <w:t>Narrative</w:t>
            </w:r>
            <w:r w:rsidRPr="00297A65">
              <w:tab/>
            </w:r>
            <w:r w:rsidR="008C4C41">
              <w:t xml:space="preserve">               </w:t>
            </w:r>
            <w:r w:rsidRPr="00297A65">
              <w:t xml:space="preserve">Newspaper report </w:t>
            </w:r>
            <w:r w:rsidR="008C4C41">
              <w:t xml:space="preserve">       </w:t>
            </w:r>
            <w:r w:rsidRPr="00297A65">
              <w:t xml:space="preserve">Non-fiction      Prediction     </w:t>
            </w:r>
            <w:r w:rsidR="008C4C41">
              <w:t xml:space="preserve">                                  </w:t>
            </w:r>
            <w:r w:rsidRPr="00297A65">
              <w:t xml:space="preserve">Procedural     </w:t>
            </w:r>
            <w:r w:rsidR="008C4C41">
              <w:t xml:space="preserve">                    </w:t>
            </w:r>
            <w:r w:rsidRPr="00297A65">
              <w:t xml:space="preserve">Recount     </w:t>
            </w:r>
            <w:r w:rsidR="008C4C41">
              <w:t xml:space="preserve">                       </w:t>
            </w:r>
            <w:r w:rsidRPr="00297A65">
              <w:t xml:space="preserve">Science investigation      </w:t>
            </w:r>
          </w:p>
          <w:p w14:paraId="099C5F6A" w14:textId="77777777" w:rsidR="00D154E6" w:rsidRPr="00297A65" w:rsidRDefault="00D154E6" w:rsidP="008C4C41">
            <w:r w:rsidRPr="00297A65">
              <w:t>Short Story</w:t>
            </w:r>
            <w:r w:rsidRPr="00297A65">
              <w:tab/>
            </w:r>
            <w:r w:rsidRPr="00297A65">
              <w:tab/>
            </w:r>
          </w:p>
          <w:p w14:paraId="4F0517B6" w14:textId="77777777" w:rsidR="00C21CED" w:rsidRPr="00297A65" w:rsidRDefault="00C21CED" w:rsidP="008C4C41"/>
        </w:tc>
      </w:tr>
      <w:tr w:rsidR="00F503A2" w:rsidRPr="00297A65" w14:paraId="7D5CCB28" w14:textId="77777777" w:rsidTr="00297A65">
        <w:tc>
          <w:tcPr>
            <w:tcW w:w="5353" w:type="dxa"/>
          </w:tcPr>
          <w:p w14:paraId="619E2E97" w14:textId="77777777" w:rsidR="00F503A2" w:rsidRPr="00297A65" w:rsidRDefault="00D154E6" w:rsidP="008C4C41">
            <w:pPr>
              <w:pStyle w:val="BodyText"/>
              <w:numPr>
                <w:ilvl w:val="0"/>
                <w:numId w:val="1"/>
              </w:numPr>
              <w:rPr>
                <w:rFonts w:asciiTheme="minorHAnsi" w:hAnsiTheme="minorHAnsi"/>
                <w:sz w:val="22"/>
                <w:szCs w:val="22"/>
              </w:rPr>
            </w:pPr>
            <w:r w:rsidRPr="00297A65">
              <w:rPr>
                <w:rFonts w:asciiTheme="minorHAnsi" w:hAnsiTheme="minorHAnsi"/>
                <w:sz w:val="22"/>
                <w:szCs w:val="22"/>
              </w:rPr>
              <w:t xml:space="preserve">distinguish between the language of speech and writing and choose the appropriate register </w:t>
            </w:r>
          </w:p>
        </w:tc>
        <w:tc>
          <w:tcPr>
            <w:tcW w:w="10631" w:type="dxa"/>
            <w:gridSpan w:val="2"/>
          </w:tcPr>
          <w:p w14:paraId="0C6E4514" w14:textId="77777777" w:rsidR="00F503A2" w:rsidRPr="00297A65" w:rsidRDefault="00DD05AA" w:rsidP="008C4C41">
            <w:r>
              <w:t xml:space="preserve">Footnote: </w:t>
            </w:r>
            <w:r w:rsidR="00D154E6" w:rsidRPr="00297A65">
              <w:t xml:space="preserve">Pupils should recognise that certain features of spoken language (e.g. contracted verb forms, other grammatical informality, colloquial expressions, long coordinated sentences) are less likely in writing and be able to select alternative vocabulary and grammar. </w:t>
            </w:r>
          </w:p>
        </w:tc>
      </w:tr>
      <w:tr w:rsidR="00D154E6" w:rsidRPr="00297A65" w14:paraId="38EF5FF1" w14:textId="77777777" w:rsidTr="00297A65">
        <w:tc>
          <w:tcPr>
            <w:tcW w:w="5353" w:type="dxa"/>
          </w:tcPr>
          <w:p w14:paraId="6BEAB4E4" w14:textId="77777777" w:rsidR="00D154E6" w:rsidRPr="00297A65" w:rsidRDefault="00D154E6" w:rsidP="008C4C41">
            <w:pPr>
              <w:pStyle w:val="BodyText"/>
              <w:numPr>
                <w:ilvl w:val="0"/>
                <w:numId w:val="1"/>
              </w:numPr>
              <w:rPr>
                <w:rFonts w:asciiTheme="minorHAnsi" w:hAnsiTheme="minorHAnsi"/>
                <w:sz w:val="22"/>
                <w:szCs w:val="22"/>
              </w:rPr>
            </w:pPr>
            <w:r w:rsidRPr="00297A65">
              <w:rPr>
                <w:rFonts w:asciiTheme="minorHAnsi" w:hAnsiTheme="minorHAnsi"/>
                <w:sz w:val="22"/>
                <w:szCs w:val="22"/>
              </w:rPr>
              <w:t xml:space="preserve">exercise an assured and conscious control over levels of formality, particularly through manipulating grammar and vocabulary to achieve this </w:t>
            </w:r>
          </w:p>
        </w:tc>
        <w:tc>
          <w:tcPr>
            <w:tcW w:w="4890" w:type="dxa"/>
          </w:tcPr>
          <w:p w14:paraId="262A764E" w14:textId="77777777" w:rsidR="00D154E6" w:rsidRPr="008C4C41" w:rsidRDefault="00D154E6" w:rsidP="008C4C41">
            <w:pPr>
              <w:rPr>
                <w:b/>
                <w:i/>
              </w:rPr>
            </w:pPr>
            <w:r w:rsidRPr="00297A65">
              <w:rPr>
                <w:b/>
              </w:rPr>
              <w:t>Informal:</w:t>
            </w:r>
            <w:r w:rsidR="008C4C41">
              <w:rPr>
                <w:b/>
              </w:rPr>
              <w:t xml:space="preserve"> </w:t>
            </w:r>
            <w:r w:rsidR="008C4C41" w:rsidRPr="008C4C41">
              <w:rPr>
                <w:b/>
                <w:i/>
              </w:rPr>
              <w:t>(STA Guidance 2017)</w:t>
            </w:r>
          </w:p>
          <w:p w14:paraId="46096255" w14:textId="77777777" w:rsidR="00D154E6" w:rsidRPr="00297A65" w:rsidRDefault="00297A65" w:rsidP="008C4C41">
            <w:pPr>
              <w:pStyle w:val="ListParagraph"/>
              <w:numPr>
                <w:ilvl w:val="0"/>
                <w:numId w:val="1"/>
              </w:numPr>
            </w:pPr>
            <w:r w:rsidRPr="00297A65">
              <w:t>Contracted forms</w:t>
            </w:r>
          </w:p>
          <w:p w14:paraId="710E221B" w14:textId="77777777" w:rsidR="00297A65" w:rsidRPr="00297A65" w:rsidRDefault="00297A65" w:rsidP="008C4C41">
            <w:pPr>
              <w:pStyle w:val="ListParagraph"/>
              <w:numPr>
                <w:ilvl w:val="0"/>
                <w:numId w:val="1"/>
              </w:numPr>
            </w:pPr>
            <w:r w:rsidRPr="00297A65">
              <w:t>Question tags</w:t>
            </w:r>
          </w:p>
          <w:p w14:paraId="463F4DBC" w14:textId="77777777" w:rsidR="00297A65" w:rsidRPr="00297A65" w:rsidRDefault="00297A65" w:rsidP="008C4C41">
            <w:pPr>
              <w:pStyle w:val="ListParagraph"/>
              <w:numPr>
                <w:ilvl w:val="0"/>
                <w:numId w:val="1"/>
              </w:numPr>
            </w:pPr>
            <w:r w:rsidRPr="00297A65">
              <w:t>Multi word verbs</w:t>
            </w:r>
          </w:p>
          <w:p w14:paraId="0595FCBE" w14:textId="77777777" w:rsidR="00297A65" w:rsidRPr="00297A65" w:rsidRDefault="00297A65" w:rsidP="008C4C41">
            <w:pPr>
              <w:pStyle w:val="ListParagraph"/>
              <w:numPr>
                <w:ilvl w:val="0"/>
                <w:numId w:val="1"/>
              </w:numPr>
            </w:pPr>
            <w:r w:rsidRPr="00297A65">
              <w:t>Passives using get</w:t>
            </w:r>
          </w:p>
          <w:p w14:paraId="660DB786" w14:textId="77777777" w:rsidR="00297A65" w:rsidRPr="00297A65" w:rsidRDefault="00297A65" w:rsidP="008C4C41">
            <w:pPr>
              <w:pStyle w:val="ListParagraph"/>
              <w:numPr>
                <w:ilvl w:val="0"/>
                <w:numId w:val="1"/>
              </w:numPr>
            </w:pPr>
            <w:r w:rsidRPr="00297A65">
              <w:t>Second person direct address to the reader</w:t>
            </w:r>
          </w:p>
          <w:p w14:paraId="374679DB" w14:textId="77777777" w:rsidR="00297A65" w:rsidRPr="00297A65" w:rsidRDefault="00297A65" w:rsidP="008C4C41">
            <w:pPr>
              <w:pStyle w:val="ListParagraph"/>
              <w:numPr>
                <w:ilvl w:val="0"/>
                <w:numId w:val="1"/>
              </w:numPr>
            </w:pPr>
            <w:r w:rsidRPr="00297A65">
              <w:t>Vernacular everyday language including idioms</w:t>
            </w:r>
          </w:p>
          <w:p w14:paraId="25BD88CC" w14:textId="77777777" w:rsidR="00297A65" w:rsidRPr="00297A65" w:rsidRDefault="00297A65" w:rsidP="008C4C41">
            <w:pPr>
              <w:pStyle w:val="ListParagraph"/>
              <w:numPr>
                <w:ilvl w:val="0"/>
                <w:numId w:val="1"/>
              </w:numPr>
            </w:pPr>
            <w:r w:rsidRPr="00297A65">
              <w:t>Features that replicate spoken language such as ellipsis, discourse markers and some non-standard forms</w:t>
            </w:r>
          </w:p>
        </w:tc>
        <w:tc>
          <w:tcPr>
            <w:tcW w:w="5741" w:type="dxa"/>
          </w:tcPr>
          <w:p w14:paraId="7335C376" w14:textId="77777777" w:rsidR="008C4C41" w:rsidRPr="008C4C41" w:rsidRDefault="00D154E6" w:rsidP="008C4C41">
            <w:pPr>
              <w:rPr>
                <w:b/>
                <w:i/>
              </w:rPr>
            </w:pPr>
            <w:r w:rsidRPr="00297A65">
              <w:rPr>
                <w:b/>
              </w:rPr>
              <w:t>Formal:</w:t>
            </w:r>
            <w:r w:rsidR="008C4C41" w:rsidRPr="008C4C41">
              <w:rPr>
                <w:b/>
                <w:i/>
              </w:rPr>
              <w:t xml:space="preserve"> (STA Guidance 2017)</w:t>
            </w:r>
          </w:p>
          <w:p w14:paraId="70987F66" w14:textId="77777777" w:rsidR="00297A65" w:rsidRPr="00297A65" w:rsidRDefault="00297A65" w:rsidP="008C4C41">
            <w:pPr>
              <w:pStyle w:val="ListParagraph"/>
              <w:numPr>
                <w:ilvl w:val="0"/>
                <w:numId w:val="18"/>
              </w:numPr>
            </w:pPr>
            <w:r w:rsidRPr="00297A65">
              <w:t>Some modal verbs in certain grammatical structure</w:t>
            </w:r>
          </w:p>
          <w:p w14:paraId="255C5DDF" w14:textId="77777777" w:rsidR="00297A65" w:rsidRPr="00297A65" w:rsidRDefault="00297A65" w:rsidP="008C4C41">
            <w:pPr>
              <w:pStyle w:val="ListParagraph"/>
              <w:numPr>
                <w:ilvl w:val="0"/>
                <w:numId w:val="18"/>
              </w:numPr>
            </w:pPr>
            <w:r w:rsidRPr="00297A65">
              <w:t>The subjunctive</w:t>
            </w:r>
          </w:p>
          <w:p w14:paraId="638A0A8D" w14:textId="77777777" w:rsidR="00297A65" w:rsidRPr="00297A65" w:rsidRDefault="00297A65" w:rsidP="008C4C41">
            <w:pPr>
              <w:pStyle w:val="ListParagraph"/>
              <w:numPr>
                <w:ilvl w:val="0"/>
                <w:numId w:val="18"/>
              </w:numPr>
            </w:pPr>
            <w:r w:rsidRPr="00297A65">
              <w:t>Some use of abstract nouns, and noun phrases used at the subject of the verb</w:t>
            </w:r>
          </w:p>
          <w:p w14:paraId="41C3BB8F" w14:textId="77777777" w:rsidR="00297A65" w:rsidRPr="00297A65" w:rsidRDefault="00297A65" w:rsidP="008C4C41">
            <w:pPr>
              <w:pStyle w:val="ListParagraph"/>
              <w:numPr>
                <w:ilvl w:val="0"/>
                <w:numId w:val="18"/>
              </w:numPr>
            </w:pPr>
            <w:r w:rsidRPr="00297A65">
              <w:t>Some passive constructions</w:t>
            </w:r>
          </w:p>
          <w:p w14:paraId="0CFF2BDA" w14:textId="77777777" w:rsidR="00297A65" w:rsidRPr="00297A65" w:rsidRDefault="00297A65" w:rsidP="008C4C41">
            <w:pPr>
              <w:pStyle w:val="ListParagraph"/>
              <w:numPr>
                <w:ilvl w:val="0"/>
                <w:numId w:val="18"/>
              </w:numPr>
            </w:pPr>
            <w:r w:rsidRPr="00297A65">
              <w:t>The person pronoun ‘one’</w:t>
            </w:r>
          </w:p>
          <w:p w14:paraId="344207F0" w14:textId="77777777" w:rsidR="00297A65" w:rsidRPr="00297A65" w:rsidRDefault="00297A65" w:rsidP="008C4C41">
            <w:pPr>
              <w:pStyle w:val="ListParagraph"/>
              <w:numPr>
                <w:ilvl w:val="0"/>
                <w:numId w:val="18"/>
              </w:numPr>
            </w:pPr>
            <w:r w:rsidRPr="00297A65">
              <w:t>Vocabulary that is technical, or context/subject specific</w:t>
            </w:r>
          </w:p>
          <w:p w14:paraId="64374F70" w14:textId="77777777" w:rsidR="00297A65" w:rsidRPr="00297A65" w:rsidRDefault="00297A65" w:rsidP="008C4C41">
            <w:pPr>
              <w:pStyle w:val="ListParagraph"/>
              <w:numPr>
                <w:ilvl w:val="0"/>
                <w:numId w:val="18"/>
              </w:numPr>
            </w:pPr>
            <w:r w:rsidRPr="00297A65">
              <w:t>Nominalisation (use of nouns rather than verbs or adjectives)</w:t>
            </w:r>
          </w:p>
        </w:tc>
      </w:tr>
      <w:tr w:rsidR="00F503A2" w:rsidRPr="00297A65" w14:paraId="41EF1D04" w14:textId="77777777" w:rsidTr="00297A65">
        <w:tc>
          <w:tcPr>
            <w:tcW w:w="5353" w:type="dxa"/>
          </w:tcPr>
          <w:p w14:paraId="52407BBD" w14:textId="77777777" w:rsidR="00F503A2" w:rsidRPr="00297A65" w:rsidRDefault="00D154E6" w:rsidP="008C4C41">
            <w:pPr>
              <w:pStyle w:val="BodyText"/>
              <w:numPr>
                <w:ilvl w:val="0"/>
                <w:numId w:val="17"/>
              </w:numPr>
              <w:rPr>
                <w:rFonts w:asciiTheme="minorHAnsi" w:hAnsiTheme="minorHAnsi"/>
                <w:sz w:val="22"/>
                <w:szCs w:val="22"/>
              </w:rPr>
            </w:pPr>
            <w:r w:rsidRPr="00297A65">
              <w:rPr>
                <w:rFonts w:asciiTheme="minorHAnsi" w:hAnsiTheme="minorHAnsi"/>
                <w:sz w:val="22"/>
                <w:szCs w:val="22"/>
              </w:rPr>
              <w:t xml:space="preserve">use the range of punctuation taught at key stage 2 correctly </w:t>
            </w:r>
            <w:r w:rsidRPr="00297A65">
              <w:rPr>
                <w:rFonts w:asciiTheme="minorHAnsi" w:hAnsiTheme="minorHAnsi"/>
                <w:i/>
                <w:sz w:val="22"/>
                <w:szCs w:val="22"/>
              </w:rPr>
              <w:t>(e.g. semi-colons, dashes, colons, hyphens)</w:t>
            </w:r>
            <w:r w:rsidRPr="00297A65">
              <w:rPr>
                <w:rFonts w:asciiTheme="minorHAnsi" w:hAnsiTheme="minorHAnsi"/>
                <w:sz w:val="22"/>
                <w:szCs w:val="22"/>
              </w:rPr>
              <w:t xml:space="preserve"> and, when necessary, use such punctuation precisely to enhance meaning and avoid ambiguity.</w:t>
            </w:r>
          </w:p>
        </w:tc>
        <w:tc>
          <w:tcPr>
            <w:tcW w:w="10631" w:type="dxa"/>
            <w:gridSpan w:val="2"/>
          </w:tcPr>
          <w:p w14:paraId="0ED7DDAD" w14:textId="77777777" w:rsidR="00D154E6" w:rsidRPr="008C4C41" w:rsidRDefault="00DD05AA" w:rsidP="008C4C41">
            <w:pPr>
              <w:pStyle w:val="BodyText"/>
              <w:ind w:left="0"/>
              <w:rPr>
                <w:rFonts w:asciiTheme="minorHAnsi" w:hAnsiTheme="minorHAnsi"/>
                <w:b/>
                <w:sz w:val="22"/>
                <w:szCs w:val="22"/>
                <w:u w:val="single"/>
              </w:rPr>
            </w:pPr>
            <w:r>
              <w:rPr>
                <w:rFonts w:asciiTheme="minorHAnsi" w:hAnsiTheme="minorHAnsi"/>
                <w:sz w:val="22"/>
                <w:szCs w:val="22"/>
              </w:rPr>
              <w:t xml:space="preserve">Footnote: </w:t>
            </w:r>
            <w:r w:rsidR="00D154E6" w:rsidRPr="00297A65">
              <w:rPr>
                <w:rFonts w:asciiTheme="minorHAnsi" w:hAnsiTheme="minorHAnsi"/>
                <w:sz w:val="22"/>
                <w:szCs w:val="22"/>
              </w:rPr>
              <w:t xml:space="preserve">This relates to punctuation taught in the national curriculum, which is detailed in the grammar and punctuation appendix to the national curriculum (English Appendix 2). Pupils are expected to be able to use the range of punctuation shown here in their writing, but </w:t>
            </w:r>
            <w:r w:rsidR="00D154E6" w:rsidRPr="008C4C41">
              <w:rPr>
                <w:rFonts w:asciiTheme="minorHAnsi" w:hAnsiTheme="minorHAnsi"/>
                <w:b/>
                <w:sz w:val="22"/>
                <w:szCs w:val="22"/>
                <w:u w:val="single"/>
              </w:rPr>
              <w:t xml:space="preserve">this does not mean that every single punctuation mark must be evident. </w:t>
            </w:r>
          </w:p>
          <w:p w14:paraId="0A5FEB6D" w14:textId="77777777" w:rsidR="00DD05AA" w:rsidRDefault="00297A65" w:rsidP="008C4C41">
            <w:pPr>
              <w:rPr>
                <w:b/>
              </w:rPr>
            </w:pPr>
            <w:r w:rsidRPr="008C4C41">
              <w:rPr>
                <w:b/>
                <w:i/>
              </w:rPr>
              <w:t>Year 4:</w:t>
            </w:r>
            <w:r w:rsidRPr="00297A65">
              <w:t xml:space="preserve"> </w:t>
            </w:r>
            <w:r w:rsidR="00DD05AA">
              <w:t xml:space="preserve">  </w:t>
            </w:r>
            <w:r w:rsidRPr="00297A65">
              <w:t xml:space="preserve">Use of </w:t>
            </w:r>
            <w:r w:rsidRPr="00297A65">
              <w:rPr>
                <w:b/>
              </w:rPr>
              <w:t>inverted commas</w:t>
            </w:r>
            <w:r w:rsidRPr="00297A65">
              <w:t xml:space="preserve"> and other punctuation to </w:t>
            </w:r>
            <w:r w:rsidRPr="00297A65">
              <w:rPr>
                <w:bCs/>
              </w:rPr>
              <w:t>indicate</w:t>
            </w:r>
            <w:r w:rsidR="005A6126">
              <w:t xml:space="preserve"> direct speech</w:t>
            </w:r>
            <w:r w:rsidRPr="00297A65">
              <w:t xml:space="preserve">, </w:t>
            </w:r>
            <w:r w:rsidRPr="00297A65">
              <w:rPr>
                <w:b/>
              </w:rPr>
              <w:t xml:space="preserve">a comma after the reporting </w:t>
            </w:r>
          </w:p>
          <w:p w14:paraId="1CD76335" w14:textId="77777777" w:rsidR="008C4C41" w:rsidRDefault="00DD05AA" w:rsidP="008C4C41">
            <w:r>
              <w:rPr>
                <w:b/>
              </w:rPr>
              <w:t xml:space="preserve">                </w:t>
            </w:r>
            <w:r w:rsidR="00297A65" w:rsidRPr="00297A65">
              <w:rPr>
                <w:b/>
              </w:rPr>
              <w:t>clause; end punctuation within inverted commas</w:t>
            </w:r>
            <w:r w:rsidR="00297A65" w:rsidRPr="00297A65">
              <w:t xml:space="preserve">. </w:t>
            </w:r>
          </w:p>
          <w:p w14:paraId="0E059AFC" w14:textId="77777777" w:rsidR="008C4C41" w:rsidRDefault="00DD05AA" w:rsidP="008C4C41">
            <w:pPr>
              <w:rPr>
                <w:iCs/>
              </w:rPr>
            </w:pPr>
            <w:r>
              <w:rPr>
                <w:b/>
                <w:bCs/>
              </w:rPr>
              <w:t xml:space="preserve">                </w:t>
            </w:r>
            <w:r w:rsidR="00297A65" w:rsidRPr="00297A65">
              <w:rPr>
                <w:b/>
                <w:bCs/>
              </w:rPr>
              <w:t>Apostrophes</w:t>
            </w:r>
            <w:r w:rsidR="00297A65" w:rsidRPr="00297A65">
              <w:rPr>
                <w:b/>
              </w:rPr>
              <w:t xml:space="preserve"> to mark </w:t>
            </w:r>
            <w:r w:rsidR="00297A65" w:rsidRPr="00297A65">
              <w:rPr>
                <w:b/>
                <w:bCs/>
              </w:rPr>
              <w:t>plural</w:t>
            </w:r>
            <w:r w:rsidR="00297A65" w:rsidRPr="00297A65">
              <w:rPr>
                <w:b/>
              </w:rPr>
              <w:t xml:space="preserve"> possession</w:t>
            </w:r>
            <w:r w:rsidR="00297A65" w:rsidRPr="00297A65">
              <w:rPr>
                <w:iCs/>
              </w:rPr>
              <w:t xml:space="preserve">. </w:t>
            </w:r>
          </w:p>
          <w:p w14:paraId="081767E7" w14:textId="77777777" w:rsidR="00F503A2" w:rsidRPr="00297A65" w:rsidRDefault="00DD05AA" w:rsidP="008C4C41">
            <w:pPr>
              <w:rPr>
                <w:bCs/>
              </w:rPr>
            </w:pPr>
            <w:r>
              <w:t xml:space="preserve">                </w:t>
            </w:r>
            <w:r w:rsidR="00297A65" w:rsidRPr="00297A65">
              <w:t xml:space="preserve">Use of </w:t>
            </w:r>
            <w:r w:rsidR="00297A65" w:rsidRPr="00297A65">
              <w:rPr>
                <w:b/>
              </w:rPr>
              <w:t xml:space="preserve">commas after </w:t>
            </w:r>
            <w:r w:rsidR="00297A65" w:rsidRPr="00297A65">
              <w:rPr>
                <w:b/>
                <w:bCs/>
              </w:rPr>
              <w:t>fronted</w:t>
            </w:r>
            <w:r w:rsidR="00297A65" w:rsidRPr="00297A65">
              <w:rPr>
                <w:b/>
              </w:rPr>
              <w:t xml:space="preserve"> </w:t>
            </w:r>
            <w:r w:rsidR="00297A65" w:rsidRPr="00297A65">
              <w:rPr>
                <w:b/>
                <w:bCs/>
              </w:rPr>
              <w:t>adverbials</w:t>
            </w:r>
            <w:r w:rsidR="00297A65" w:rsidRPr="00297A65">
              <w:rPr>
                <w:bCs/>
              </w:rPr>
              <w:t>.</w:t>
            </w:r>
          </w:p>
          <w:p w14:paraId="04F9BECC" w14:textId="77777777" w:rsidR="008C4C41" w:rsidRDefault="00297A65" w:rsidP="008C4C41">
            <w:r w:rsidRPr="008C4C41">
              <w:rPr>
                <w:b/>
                <w:i/>
              </w:rPr>
              <w:t>Year 5:</w:t>
            </w:r>
            <w:r w:rsidRPr="00297A65">
              <w:t xml:space="preserve"> </w:t>
            </w:r>
            <w:r w:rsidR="00DD05AA">
              <w:t xml:space="preserve">  </w:t>
            </w:r>
            <w:r w:rsidRPr="00297A65">
              <w:rPr>
                <w:b/>
              </w:rPr>
              <w:t>Brackets, dashes or commas to indicate parenthesis</w:t>
            </w:r>
            <w:r w:rsidRPr="00297A65">
              <w:t xml:space="preserve">. </w:t>
            </w:r>
          </w:p>
          <w:p w14:paraId="7C193C39" w14:textId="77777777" w:rsidR="00297A65" w:rsidRPr="00297A65" w:rsidRDefault="00DD05AA" w:rsidP="008C4C41">
            <w:r>
              <w:t xml:space="preserve">                </w:t>
            </w:r>
            <w:r w:rsidR="00297A65" w:rsidRPr="00297A65">
              <w:t xml:space="preserve">Use of </w:t>
            </w:r>
            <w:r w:rsidR="00297A65" w:rsidRPr="00297A65">
              <w:rPr>
                <w:b/>
              </w:rPr>
              <w:t>commas to clarify meaning or avoid ambiguity</w:t>
            </w:r>
            <w:r w:rsidR="00297A65" w:rsidRPr="00297A65">
              <w:t>.</w:t>
            </w:r>
          </w:p>
          <w:p w14:paraId="6F2845AC" w14:textId="77777777" w:rsidR="008C4C41" w:rsidRDefault="00297A65" w:rsidP="008C4C41">
            <w:r w:rsidRPr="008C4C41">
              <w:rPr>
                <w:b/>
                <w:i/>
              </w:rPr>
              <w:t>Year 6:</w:t>
            </w:r>
            <w:r w:rsidRPr="00297A65">
              <w:t xml:space="preserve"> </w:t>
            </w:r>
            <w:r w:rsidR="00DD05AA">
              <w:t xml:space="preserve">  </w:t>
            </w:r>
            <w:r w:rsidRPr="00297A65">
              <w:t xml:space="preserve">Use of the </w:t>
            </w:r>
            <w:r w:rsidRPr="00297A65">
              <w:rPr>
                <w:b/>
              </w:rPr>
              <w:t xml:space="preserve">semi-colon, colon and dash to mark the boundary between independent </w:t>
            </w:r>
            <w:r w:rsidRPr="00297A65">
              <w:rPr>
                <w:b/>
                <w:bCs/>
              </w:rPr>
              <w:t>clauses</w:t>
            </w:r>
            <w:r w:rsidR="008C4C41">
              <w:t>.</w:t>
            </w:r>
          </w:p>
          <w:p w14:paraId="7705D822" w14:textId="77777777" w:rsidR="008C4C41" w:rsidRDefault="00DD05AA" w:rsidP="008C4C41">
            <w:r>
              <w:t xml:space="preserve">                </w:t>
            </w:r>
            <w:r w:rsidR="00297A65" w:rsidRPr="00297A65">
              <w:t xml:space="preserve">Use of the </w:t>
            </w:r>
            <w:r w:rsidR="00297A65" w:rsidRPr="00297A65">
              <w:rPr>
                <w:b/>
              </w:rPr>
              <w:t>colon to introduce a list</w:t>
            </w:r>
            <w:r w:rsidR="00297A65" w:rsidRPr="00297A65">
              <w:t xml:space="preserve"> and use of </w:t>
            </w:r>
            <w:r w:rsidR="00297A65" w:rsidRPr="00297A65">
              <w:rPr>
                <w:b/>
              </w:rPr>
              <w:t>semi-colons within lists</w:t>
            </w:r>
            <w:r w:rsidR="00297A65" w:rsidRPr="00297A65">
              <w:t xml:space="preserve">. </w:t>
            </w:r>
          </w:p>
          <w:p w14:paraId="36418BE9" w14:textId="77777777" w:rsidR="008C4C41" w:rsidRDefault="00DD05AA" w:rsidP="008C4C41">
            <w:r>
              <w:rPr>
                <w:bCs/>
              </w:rPr>
              <w:t xml:space="preserve">                </w:t>
            </w:r>
            <w:r w:rsidR="00297A65" w:rsidRPr="00297A65">
              <w:rPr>
                <w:bCs/>
              </w:rPr>
              <w:t>Punctuation</w:t>
            </w:r>
            <w:r w:rsidR="00297A65" w:rsidRPr="00297A65">
              <w:t xml:space="preserve"> </w:t>
            </w:r>
            <w:r w:rsidR="00297A65" w:rsidRPr="00297A65">
              <w:rPr>
                <w:b/>
              </w:rPr>
              <w:t>of bullet points to list information</w:t>
            </w:r>
            <w:r w:rsidR="00297A65" w:rsidRPr="00297A65">
              <w:t xml:space="preserve">. </w:t>
            </w:r>
          </w:p>
          <w:p w14:paraId="0BA1315B" w14:textId="77777777" w:rsidR="00297A65" w:rsidRPr="00297A65" w:rsidRDefault="00DD05AA" w:rsidP="008C4C41">
            <w:r>
              <w:t xml:space="preserve">                </w:t>
            </w:r>
            <w:r w:rsidR="00297A65" w:rsidRPr="00297A65">
              <w:t xml:space="preserve">How </w:t>
            </w:r>
            <w:r w:rsidR="00297A65" w:rsidRPr="00297A65">
              <w:rPr>
                <w:b/>
              </w:rPr>
              <w:t>hyphens can be used to avoid ambiguity</w:t>
            </w:r>
            <w:r w:rsidR="008C4C41">
              <w:t>.</w:t>
            </w:r>
          </w:p>
        </w:tc>
      </w:tr>
      <w:tr w:rsidR="00297A65" w:rsidRPr="00297A65" w14:paraId="5E1C9BF3" w14:textId="77777777" w:rsidTr="00E219E0">
        <w:tc>
          <w:tcPr>
            <w:tcW w:w="15984" w:type="dxa"/>
            <w:gridSpan w:val="3"/>
          </w:tcPr>
          <w:p w14:paraId="0D38FBB2" w14:textId="77777777" w:rsidR="00297A65" w:rsidRPr="008C4C41" w:rsidRDefault="00297A65" w:rsidP="008C4C41">
            <w:pPr>
              <w:pStyle w:val="bulletundertext"/>
              <w:numPr>
                <w:ilvl w:val="0"/>
                <w:numId w:val="0"/>
              </w:numPr>
              <w:spacing w:after="0"/>
              <w:rPr>
                <w:rFonts w:asciiTheme="minorHAnsi" w:hAnsiTheme="minorHAnsi"/>
                <w:b/>
                <w:sz w:val="22"/>
                <w:szCs w:val="22"/>
              </w:rPr>
            </w:pPr>
            <w:r w:rsidRPr="008C4C41">
              <w:rPr>
                <w:rFonts w:asciiTheme="minorHAnsi" w:hAnsiTheme="minorHAnsi"/>
                <w:b/>
                <w:sz w:val="22"/>
                <w:szCs w:val="22"/>
              </w:rPr>
              <w:t>There are no additional statements for spelling or handwriting</w:t>
            </w:r>
          </w:p>
        </w:tc>
      </w:tr>
    </w:tbl>
    <w:p w14:paraId="0A97B3A4" w14:textId="77777777" w:rsidR="00A70E30" w:rsidRPr="00297A65" w:rsidRDefault="00A70E30" w:rsidP="008C4C41">
      <w:pPr>
        <w:spacing w:after="0"/>
      </w:pPr>
    </w:p>
    <w:sectPr w:rsidR="00A70E30" w:rsidRPr="00297A65" w:rsidSect="006823D1">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B27CB"/>
    <w:multiLevelType w:val="hybridMultilevel"/>
    <w:tmpl w:val="AE0C772A"/>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FB7B1C"/>
    <w:multiLevelType w:val="hybridMultilevel"/>
    <w:tmpl w:val="7D1E632C"/>
    <w:lvl w:ilvl="0" w:tplc="B380E4E0">
      <w:start w:val="1"/>
      <w:numFmt w:val="bullet"/>
      <w:lvlText w:val="•"/>
      <w:lvlJc w:val="left"/>
      <w:pPr>
        <w:ind w:left="720" w:hanging="360"/>
      </w:pPr>
      <w:rPr>
        <w:rFonts w:ascii="Calibri" w:hAnsi="Calibri"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0756F"/>
    <w:multiLevelType w:val="hybridMultilevel"/>
    <w:tmpl w:val="0818E5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425BC0"/>
    <w:multiLevelType w:val="hybridMultilevel"/>
    <w:tmpl w:val="9B2C9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738D"/>
    <w:multiLevelType w:val="hybridMultilevel"/>
    <w:tmpl w:val="53DE0380"/>
    <w:lvl w:ilvl="0" w:tplc="B440B29E">
      <w:start w:val="1"/>
      <w:numFmt w:val="bullet"/>
      <w:lvlText w:val="•"/>
      <w:lvlJc w:val="left"/>
      <w:pPr>
        <w:tabs>
          <w:tab w:val="num" w:pos="720"/>
        </w:tabs>
        <w:ind w:left="720" w:hanging="360"/>
      </w:pPr>
      <w:rPr>
        <w:rFonts w:ascii="Arial" w:hAnsi="Arial" w:hint="default"/>
      </w:rPr>
    </w:lvl>
    <w:lvl w:ilvl="1" w:tplc="E4CAA948" w:tentative="1">
      <w:start w:val="1"/>
      <w:numFmt w:val="bullet"/>
      <w:lvlText w:val="•"/>
      <w:lvlJc w:val="left"/>
      <w:pPr>
        <w:tabs>
          <w:tab w:val="num" w:pos="1440"/>
        </w:tabs>
        <w:ind w:left="1440" w:hanging="360"/>
      </w:pPr>
      <w:rPr>
        <w:rFonts w:ascii="Arial" w:hAnsi="Arial" w:hint="default"/>
      </w:rPr>
    </w:lvl>
    <w:lvl w:ilvl="2" w:tplc="B596B220" w:tentative="1">
      <w:start w:val="1"/>
      <w:numFmt w:val="bullet"/>
      <w:lvlText w:val="•"/>
      <w:lvlJc w:val="left"/>
      <w:pPr>
        <w:tabs>
          <w:tab w:val="num" w:pos="2160"/>
        </w:tabs>
        <w:ind w:left="2160" w:hanging="360"/>
      </w:pPr>
      <w:rPr>
        <w:rFonts w:ascii="Arial" w:hAnsi="Arial" w:hint="default"/>
      </w:rPr>
    </w:lvl>
    <w:lvl w:ilvl="3" w:tplc="F6B2A6CC" w:tentative="1">
      <w:start w:val="1"/>
      <w:numFmt w:val="bullet"/>
      <w:lvlText w:val="•"/>
      <w:lvlJc w:val="left"/>
      <w:pPr>
        <w:tabs>
          <w:tab w:val="num" w:pos="2880"/>
        </w:tabs>
        <w:ind w:left="2880" w:hanging="360"/>
      </w:pPr>
      <w:rPr>
        <w:rFonts w:ascii="Arial" w:hAnsi="Arial" w:hint="default"/>
      </w:rPr>
    </w:lvl>
    <w:lvl w:ilvl="4" w:tplc="5C86D606" w:tentative="1">
      <w:start w:val="1"/>
      <w:numFmt w:val="bullet"/>
      <w:lvlText w:val="•"/>
      <w:lvlJc w:val="left"/>
      <w:pPr>
        <w:tabs>
          <w:tab w:val="num" w:pos="3600"/>
        </w:tabs>
        <w:ind w:left="3600" w:hanging="360"/>
      </w:pPr>
      <w:rPr>
        <w:rFonts w:ascii="Arial" w:hAnsi="Arial" w:hint="default"/>
      </w:rPr>
    </w:lvl>
    <w:lvl w:ilvl="5" w:tplc="23549DA6" w:tentative="1">
      <w:start w:val="1"/>
      <w:numFmt w:val="bullet"/>
      <w:lvlText w:val="•"/>
      <w:lvlJc w:val="left"/>
      <w:pPr>
        <w:tabs>
          <w:tab w:val="num" w:pos="4320"/>
        </w:tabs>
        <w:ind w:left="4320" w:hanging="360"/>
      </w:pPr>
      <w:rPr>
        <w:rFonts w:ascii="Arial" w:hAnsi="Arial" w:hint="default"/>
      </w:rPr>
    </w:lvl>
    <w:lvl w:ilvl="6" w:tplc="56BE1B48" w:tentative="1">
      <w:start w:val="1"/>
      <w:numFmt w:val="bullet"/>
      <w:lvlText w:val="•"/>
      <w:lvlJc w:val="left"/>
      <w:pPr>
        <w:tabs>
          <w:tab w:val="num" w:pos="5040"/>
        </w:tabs>
        <w:ind w:left="5040" w:hanging="360"/>
      </w:pPr>
      <w:rPr>
        <w:rFonts w:ascii="Arial" w:hAnsi="Arial" w:hint="default"/>
      </w:rPr>
    </w:lvl>
    <w:lvl w:ilvl="7" w:tplc="E07EC806" w:tentative="1">
      <w:start w:val="1"/>
      <w:numFmt w:val="bullet"/>
      <w:lvlText w:val="•"/>
      <w:lvlJc w:val="left"/>
      <w:pPr>
        <w:tabs>
          <w:tab w:val="num" w:pos="5760"/>
        </w:tabs>
        <w:ind w:left="5760" w:hanging="360"/>
      </w:pPr>
      <w:rPr>
        <w:rFonts w:ascii="Arial" w:hAnsi="Arial" w:hint="default"/>
      </w:rPr>
    </w:lvl>
    <w:lvl w:ilvl="8" w:tplc="087E408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DF7029"/>
    <w:multiLevelType w:val="hybridMultilevel"/>
    <w:tmpl w:val="2962D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4D7252"/>
    <w:multiLevelType w:val="hybridMultilevel"/>
    <w:tmpl w:val="C17058AC"/>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7" w15:restartNumberingAfterBreak="0">
    <w:nsid w:val="3C6249FE"/>
    <w:multiLevelType w:val="hybridMultilevel"/>
    <w:tmpl w:val="BF0E1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30676E"/>
    <w:multiLevelType w:val="hybridMultilevel"/>
    <w:tmpl w:val="7256C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0B2348"/>
    <w:multiLevelType w:val="hybridMultilevel"/>
    <w:tmpl w:val="8F3C8B2A"/>
    <w:lvl w:ilvl="0" w:tplc="03A4E20C">
      <w:start w:val="1"/>
      <w:numFmt w:val="bullet"/>
      <w:lvlText w:val="•"/>
      <w:lvlJc w:val="left"/>
      <w:pPr>
        <w:ind w:left="720" w:hanging="360"/>
      </w:pPr>
      <w:rPr>
        <w:rFont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037DDC"/>
    <w:multiLevelType w:val="hybridMultilevel"/>
    <w:tmpl w:val="AD86709E"/>
    <w:lvl w:ilvl="0" w:tplc="ECDAFCD0">
      <w:numFmt w:val="bullet"/>
      <w:lvlText w:val="•"/>
      <w:lvlJc w:val="left"/>
      <w:pPr>
        <w:ind w:left="720" w:hanging="360"/>
      </w:pPr>
      <w:rPr>
        <w:rFonts w:ascii="Calibri" w:eastAsia="Calibr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A13A0D"/>
    <w:multiLevelType w:val="hybridMultilevel"/>
    <w:tmpl w:val="792C2F00"/>
    <w:lvl w:ilvl="0" w:tplc="03A4E20C">
      <w:start w:val="1"/>
      <w:numFmt w:val="bullet"/>
      <w:lvlText w:val="•"/>
      <w:lvlJc w:val="left"/>
      <w:pPr>
        <w:ind w:left="720" w:hanging="360"/>
      </w:pPr>
      <w:rPr>
        <w:rFont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C77AED"/>
    <w:multiLevelType w:val="hybridMultilevel"/>
    <w:tmpl w:val="2E049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644D9F"/>
    <w:multiLevelType w:val="hybridMultilevel"/>
    <w:tmpl w:val="44749128"/>
    <w:lvl w:ilvl="0" w:tplc="B440B29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1A04E2"/>
    <w:multiLevelType w:val="hybridMultilevel"/>
    <w:tmpl w:val="0B56353C"/>
    <w:lvl w:ilvl="0" w:tplc="CA884C6C">
      <w:start w:val="1"/>
      <w:numFmt w:val="bullet"/>
      <w:lvlText w:val="•"/>
      <w:lvlJc w:val="left"/>
      <w:pPr>
        <w:tabs>
          <w:tab w:val="num" w:pos="720"/>
        </w:tabs>
        <w:ind w:left="720" w:hanging="360"/>
      </w:pPr>
      <w:rPr>
        <w:rFonts w:ascii="Arial" w:hAnsi="Arial" w:hint="default"/>
      </w:rPr>
    </w:lvl>
    <w:lvl w:ilvl="1" w:tplc="1D2EE6CA" w:tentative="1">
      <w:start w:val="1"/>
      <w:numFmt w:val="bullet"/>
      <w:lvlText w:val="•"/>
      <w:lvlJc w:val="left"/>
      <w:pPr>
        <w:tabs>
          <w:tab w:val="num" w:pos="1440"/>
        </w:tabs>
        <w:ind w:left="1440" w:hanging="360"/>
      </w:pPr>
      <w:rPr>
        <w:rFonts w:ascii="Arial" w:hAnsi="Arial" w:hint="default"/>
      </w:rPr>
    </w:lvl>
    <w:lvl w:ilvl="2" w:tplc="88BC3722" w:tentative="1">
      <w:start w:val="1"/>
      <w:numFmt w:val="bullet"/>
      <w:lvlText w:val="•"/>
      <w:lvlJc w:val="left"/>
      <w:pPr>
        <w:tabs>
          <w:tab w:val="num" w:pos="2160"/>
        </w:tabs>
        <w:ind w:left="2160" w:hanging="360"/>
      </w:pPr>
      <w:rPr>
        <w:rFonts w:ascii="Arial" w:hAnsi="Arial" w:hint="default"/>
      </w:rPr>
    </w:lvl>
    <w:lvl w:ilvl="3" w:tplc="8EE8D53E" w:tentative="1">
      <w:start w:val="1"/>
      <w:numFmt w:val="bullet"/>
      <w:lvlText w:val="•"/>
      <w:lvlJc w:val="left"/>
      <w:pPr>
        <w:tabs>
          <w:tab w:val="num" w:pos="2880"/>
        </w:tabs>
        <w:ind w:left="2880" w:hanging="360"/>
      </w:pPr>
      <w:rPr>
        <w:rFonts w:ascii="Arial" w:hAnsi="Arial" w:hint="default"/>
      </w:rPr>
    </w:lvl>
    <w:lvl w:ilvl="4" w:tplc="221A87EE" w:tentative="1">
      <w:start w:val="1"/>
      <w:numFmt w:val="bullet"/>
      <w:lvlText w:val="•"/>
      <w:lvlJc w:val="left"/>
      <w:pPr>
        <w:tabs>
          <w:tab w:val="num" w:pos="3600"/>
        </w:tabs>
        <w:ind w:left="3600" w:hanging="360"/>
      </w:pPr>
      <w:rPr>
        <w:rFonts w:ascii="Arial" w:hAnsi="Arial" w:hint="default"/>
      </w:rPr>
    </w:lvl>
    <w:lvl w:ilvl="5" w:tplc="4676A398" w:tentative="1">
      <w:start w:val="1"/>
      <w:numFmt w:val="bullet"/>
      <w:lvlText w:val="•"/>
      <w:lvlJc w:val="left"/>
      <w:pPr>
        <w:tabs>
          <w:tab w:val="num" w:pos="4320"/>
        </w:tabs>
        <w:ind w:left="4320" w:hanging="360"/>
      </w:pPr>
      <w:rPr>
        <w:rFonts w:ascii="Arial" w:hAnsi="Arial" w:hint="default"/>
      </w:rPr>
    </w:lvl>
    <w:lvl w:ilvl="6" w:tplc="91CEFA90" w:tentative="1">
      <w:start w:val="1"/>
      <w:numFmt w:val="bullet"/>
      <w:lvlText w:val="•"/>
      <w:lvlJc w:val="left"/>
      <w:pPr>
        <w:tabs>
          <w:tab w:val="num" w:pos="5040"/>
        </w:tabs>
        <w:ind w:left="5040" w:hanging="360"/>
      </w:pPr>
      <w:rPr>
        <w:rFonts w:ascii="Arial" w:hAnsi="Arial" w:hint="default"/>
      </w:rPr>
    </w:lvl>
    <w:lvl w:ilvl="7" w:tplc="F8C681E6" w:tentative="1">
      <w:start w:val="1"/>
      <w:numFmt w:val="bullet"/>
      <w:lvlText w:val="•"/>
      <w:lvlJc w:val="left"/>
      <w:pPr>
        <w:tabs>
          <w:tab w:val="num" w:pos="5760"/>
        </w:tabs>
        <w:ind w:left="5760" w:hanging="360"/>
      </w:pPr>
      <w:rPr>
        <w:rFonts w:ascii="Arial" w:hAnsi="Arial" w:hint="default"/>
      </w:rPr>
    </w:lvl>
    <w:lvl w:ilvl="8" w:tplc="C17C628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3130302"/>
    <w:multiLevelType w:val="hybridMultilevel"/>
    <w:tmpl w:val="6458FD36"/>
    <w:lvl w:ilvl="0" w:tplc="941806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77355B"/>
    <w:multiLevelType w:val="hybridMultilevel"/>
    <w:tmpl w:val="2F563F64"/>
    <w:lvl w:ilvl="0" w:tplc="306AE126">
      <w:start w:val="1"/>
      <w:numFmt w:val="bullet"/>
      <w:lvlText w:val="•"/>
      <w:lvlJc w:val="left"/>
      <w:pPr>
        <w:tabs>
          <w:tab w:val="num" w:pos="720"/>
        </w:tabs>
        <w:ind w:left="720" w:hanging="360"/>
      </w:pPr>
      <w:rPr>
        <w:rFonts w:ascii="Arial" w:hAnsi="Arial" w:hint="default"/>
      </w:rPr>
    </w:lvl>
    <w:lvl w:ilvl="1" w:tplc="075A6964" w:tentative="1">
      <w:start w:val="1"/>
      <w:numFmt w:val="bullet"/>
      <w:lvlText w:val="•"/>
      <w:lvlJc w:val="left"/>
      <w:pPr>
        <w:tabs>
          <w:tab w:val="num" w:pos="1440"/>
        </w:tabs>
        <w:ind w:left="1440" w:hanging="360"/>
      </w:pPr>
      <w:rPr>
        <w:rFonts w:ascii="Arial" w:hAnsi="Arial" w:hint="default"/>
      </w:rPr>
    </w:lvl>
    <w:lvl w:ilvl="2" w:tplc="C02C10B6" w:tentative="1">
      <w:start w:val="1"/>
      <w:numFmt w:val="bullet"/>
      <w:lvlText w:val="•"/>
      <w:lvlJc w:val="left"/>
      <w:pPr>
        <w:tabs>
          <w:tab w:val="num" w:pos="2160"/>
        </w:tabs>
        <w:ind w:left="2160" w:hanging="360"/>
      </w:pPr>
      <w:rPr>
        <w:rFonts w:ascii="Arial" w:hAnsi="Arial" w:hint="default"/>
      </w:rPr>
    </w:lvl>
    <w:lvl w:ilvl="3" w:tplc="6962360E" w:tentative="1">
      <w:start w:val="1"/>
      <w:numFmt w:val="bullet"/>
      <w:lvlText w:val="•"/>
      <w:lvlJc w:val="left"/>
      <w:pPr>
        <w:tabs>
          <w:tab w:val="num" w:pos="2880"/>
        </w:tabs>
        <w:ind w:left="2880" w:hanging="360"/>
      </w:pPr>
      <w:rPr>
        <w:rFonts w:ascii="Arial" w:hAnsi="Arial" w:hint="default"/>
      </w:rPr>
    </w:lvl>
    <w:lvl w:ilvl="4" w:tplc="09BCC7D0" w:tentative="1">
      <w:start w:val="1"/>
      <w:numFmt w:val="bullet"/>
      <w:lvlText w:val="•"/>
      <w:lvlJc w:val="left"/>
      <w:pPr>
        <w:tabs>
          <w:tab w:val="num" w:pos="3600"/>
        </w:tabs>
        <w:ind w:left="3600" w:hanging="360"/>
      </w:pPr>
      <w:rPr>
        <w:rFonts w:ascii="Arial" w:hAnsi="Arial" w:hint="default"/>
      </w:rPr>
    </w:lvl>
    <w:lvl w:ilvl="5" w:tplc="30C07E06" w:tentative="1">
      <w:start w:val="1"/>
      <w:numFmt w:val="bullet"/>
      <w:lvlText w:val="•"/>
      <w:lvlJc w:val="left"/>
      <w:pPr>
        <w:tabs>
          <w:tab w:val="num" w:pos="4320"/>
        </w:tabs>
        <w:ind w:left="4320" w:hanging="360"/>
      </w:pPr>
      <w:rPr>
        <w:rFonts w:ascii="Arial" w:hAnsi="Arial" w:hint="default"/>
      </w:rPr>
    </w:lvl>
    <w:lvl w:ilvl="6" w:tplc="3C84EA1A" w:tentative="1">
      <w:start w:val="1"/>
      <w:numFmt w:val="bullet"/>
      <w:lvlText w:val="•"/>
      <w:lvlJc w:val="left"/>
      <w:pPr>
        <w:tabs>
          <w:tab w:val="num" w:pos="5040"/>
        </w:tabs>
        <w:ind w:left="5040" w:hanging="360"/>
      </w:pPr>
      <w:rPr>
        <w:rFonts w:ascii="Arial" w:hAnsi="Arial" w:hint="default"/>
      </w:rPr>
    </w:lvl>
    <w:lvl w:ilvl="7" w:tplc="A568F83E" w:tentative="1">
      <w:start w:val="1"/>
      <w:numFmt w:val="bullet"/>
      <w:lvlText w:val="•"/>
      <w:lvlJc w:val="left"/>
      <w:pPr>
        <w:tabs>
          <w:tab w:val="num" w:pos="5760"/>
        </w:tabs>
        <w:ind w:left="5760" w:hanging="360"/>
      </w:pPr>
      <w:rPr>
        <w:rFonts w:ascii="Arial" w:hAnsi="Arial" w:hint="default"/>
      </w:rPr>
    </w:lvl>
    <w:lvl w:ilvl="8" w:tplc="EC8A1BF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973737C"/>
    <w:multiLevelType w:val="hybridMultilevel"/>
    <w:tmpl w:val="59AA5C66"/>
    <w:lvl w:ilvl="0" w:tplc="1B503C54">
      <w:start w:val="1"/>
      <w:numFmt w:val="bullet"/>
      <w:lvlText w:val="•"/>
      <w:lvlJc w:val="left"/>
      <w:pPr>
        <w:ind w:left="720" w:hanging="360"/>
      </w:pPr>
      <w:rPr>
        <w:rFont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4"/>
  </w:num>
  <w:num w:numId="4">
    <w:abstractNumId w:val="16"/>
  </w:num>
  <w:num w:numId="5">
    <w:abstractNumId w:val="15"/>
  </w:num>
  <w:num w:numId="6">
    <w:abstractNumId w:val="0"/>
  </w:num>
  <w:num w:numId="7">
    <w:abstractNumId w:val="12"/>
  </w:num>
  <w:num w:numId="8">
    <w:abstractNumId w:val="6"/>
  </w:num>
  <w:num w:numId="9">
    <w:abstractNumId w:val="7"/>
  </w:num>
  <w:num w:numId="10">
    <w:abstractNumId w:val="2"/>
  </w:num>
  <w:num w:numId="11">
    <w:abstractNumId w:val="5"/>
  </w:num>
  <w:num w:numId="12">
    <w:abstractNumId w:val="11"/>
  </w:num>
  <w:num w:numId="13">
    <w:abstractNumId w:val="9"/>
  </w:num>
  <w:num w:numId="14">
    <w:abstractNumId w:val="17"/>
  </w:num>
  <w:num w:numId="15">
    <w:abstractNumId w:val="13"/>
  </w:num>
  <w:num w:numId="16">
    <w:abstractNumId w:val="1"/>
  </w:num>
  <w:num w:numId="17">
    <w:abstractNumId w:val="1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3A2"/>
    <w:rsid w:val="00121D3F"/>
    <w:rsid w:val="00246754"/>
    <w:rsid w:val="00297A65"/>
    <w:rsid w:val="005A6126"/>
    <w:rsid w:val="006823D1"/>
    <w:rsid w:val="007D704B"/>
    <w:rsid w:val="008C4C41"/>
    <w:rsid w:val="00946CFA"/>
    <w:rsid w:val="009F6F5A"/>
    <w:rsid w:val="00A70E30"/>
    <w:rsid w:val="00B97712"/>
    <w:rsid w:val="00C21CED"/>
    <w:rsid w:val="00C555EA"/>
    <w:rsid w:val="00D154E6"/>
    <w:rsid w:val="00DD05AA"/>
    <w:rsid w:val="00F040CF"/>
    <w:rsid w:val="00F50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10710"/>
  <w15:docId w15:val="{AC4874B8-A527-43C3-9B93-5CB5B6708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0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03A2"/>
    <w:pPr>
      <w:ind w:left="720"/>
      <w:contextualSpacing/>
    </w:pPr>
  </w:style>
  <w:style w:type="paragraph" w:customStyle="1" w:styleId="bulletundertext">
    <w:name w:val="bullet (under text)"/>
    <w:rsid w:val="00121D3F"/>
    <w:pPr>
      <w:numPr>
        <w:numId w:val="6"/>
      </w:numPr>
      <w:spacing w:after="240" w:line="288" w:lineRule="auto"/>
    </w:pPr>
    <w:rPr>
      <w:rFonts w:ascii="Arial" w:eastAsia="Times New Roman" w:hAnsi="Arial" w:cs="Arial"/>
      <w:sz w:val="24"/>
      <w:szCs w:val="24"/>
      <w:lang w:eastAsia="en-GB"/>
    </w:rPr>
  </w:style>
  <w:style w:type="paragraph" w:styleId="NoSpacing">
    <w:name w:val="No Spacing"/>
    <w:uiPriority w:val="1"/>
    <w:qFormat/>
    <w:rsid w:val="00121D3F"/>
    <w:pPr>
      <w:spacing w:after="0" w:line="240" w:lineRule="auto"/>
    </w:pPr>
  </w:style>
  <w:style w:type="paragraph" w:customStyle="1" w:styleId="bulletundernumbered">
    <w:name w:val="bullet (under numbered)"/>
    <w:rsid w:val="00246754"/>
    <w:pPr>
      <w:numPr>
        <w:numId w:val="8"/>
      </w:numPr>
      <w:spacing w:after="240" w:line="288" w:lineRule="auto"/>
    </w:pPr>
    <w:rPr>
      <w:rFonts w:ascii="Arial" w:eastAsia="Times New Roman" w:hAnsi="Arial" w:cs="Arial"/>
      <w:sz w:val="24"/>
      <w:szCs w:val="24"/>
      <w:lang w:eastAsia="en-GB"/>
    </w:rPr>
  </w:style>
  <w:style w:type="paragraph" w:styleId="BalloonText">
    <w:name w:val="Balloon Text"/>
    <w:basedOn w:val="Normal"/>
    <w:link w:val="BalloonTextChar"/>
    <w:uiPriority w:val="99"/>
    <w:semiHidden/>
    <w:unhideWhenUsed/>
    <w:rsid w:val="007D70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04B"/>
    <w:rPr>
      <w:rFonts w:ascii="Tahoma" w:hAnsi="Tahoma" w:cs="Tahoma"/>
      <w:sz w:val="16"/>
      <w:szCs w:val="16"/>
    </w:rPr>
  </w:style>
  <w:style w:type="paragraph" w:styleId="BodyText">
    <w:name w:val="Body Text"/>
    <w:basedOn w:val="Normal"/>
    <w:link w:val="BodyTextChar"/>
    <w:uiPriority w:val="1"/>
    <w:qFormat/>
    <w:rsid w:val="00D154E6"/>
    <w:pPr>
      <w:widowControl w:val="0"/>
      <w:spacing w:after="0" w:line="240" w:lineRule="auto"/>
      <w:ind w:left="2097"/>
    </w:pPr>
    <w:rPr>
      <w:rFonts w:ascii="Calibri" w:eastAsia="Calibri" w:hAnsi="Calibri"/>
      <w:sz w:val="24"/>
      <w:szCs w:val="24"/>
      <w:lang w:val="en-US"/>
    </w:rPr>
  </w:style>
  <w:style w:type="character" w:customStyle="1" w:styleId="BodyTextChar">
    <w:name w:val="Body Text Char"/>
    <w:basedOn w:val="DefaultParagraphFont"/>
    <w:link w:val="BodyText"/>
    <w:uiPriority w:val="1"/>
    <w:rsid w:val="00D154E6"/>
    <w:rPr>
      <w:rFonts w:ascii="Calibri" w:eastAsia="Calibri" w:hAnsi="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494800">
      <w:bodyDiv w:val="1"/>
      <w:marLeft w:val="0"/>
      <w:marRight w:val="0"/>
      <w:marTop w:val="0"/>
      <w:marBottom w:val="0"/>
      <w:divBdr>
        <w:top w:val="none" w:sz="0" w:space="0" w:color="auto"/>
        <w:left w:val="none" w:sz="0" w:space="0" w:color="auto"/>
        <w:bottom w:val="none" w:sz="0" w:space="0" w:color="auto"/>
        <w:right w:val="none" w:sz="0" w:space="0" w:color="auto"/>
      </w:divBdr>
    </w:div>
    <w:div w:id="1317031013">
      <w:bodyDiv w:val="1"/>
      <w:marLeft w:val="0"/>
      <w:marRight w:val="0"/>
      <w:marTop w:val="0"/>
      <w:marBottom w:val="0"/>
      <w:divBdr>
        <w:top w:val="none" w:sz="0" w:space="0" w:color="auto"/>
        <w:left w:val="none" w:sz="0" w:space="0" w:color="auto"/>
        <w:bottom w:val="none" w:sz="0" w:space="0" w:color="auto"/>
        <w:right w:val="none" w:sz="0" w:space="0" w:color="auto"/>
      </w:divBdr>
      <w:divsChild>
        <w:div w:id="1641030477">
          <w:marLeft w:val="360"/>
          <w:marRight w:val="0"/>
          <w:marTop w:val="200"/>
          <w:marBottom w:val="0"/>
          <w:divBdr>
            <w:top w:val="none" w:sz="0" w:space="0" w:color="auto"/>
            <w:left w:val="none" w:sz="0" w:space="0" w:color="auto"/>
            <w:bottom w:val="none" w:sz="0" w:space="0" w:color="auto"/>
            <w:right w:val="none" w:sz="0" w:space="0" w:color="auto"/>
          </w:divBdr>
        </w:div>
        <w:div w:id="1745760812">
          <w:marLeft w:val="360"/>
          <w:marRight w:val="0"/>
          <w:marTop w:val="200"/>
          <w:marBottom w:val="0"/>
          <w:divBdr>
            <w:top w:val="none" w:sz="0" w:space="0" w:color="auto"/>
            <w:left w:val="none" w:sz="0" w:space="0" w:color="auto"/>
            <w:bottom w:val="none" w:sz="0" w:space="0" w:color="auto"/>
            <w:right w:val="none" w:sz="0" w:space="0" w:color="auto"/>
          </w:divBdr>
        </w:div>
        <w:div w:id="446781612">
          <w:marLeft w:val="360"/>
          <w:marRight w:val="0"/>
          <w:marTop w:val="200"/>
          <w:marBottom w:val="0"/>
          <w:divBdr>
            <w:top w:val="none" w:sz="0" w:space="0" w:color="auto"/>
            <w:left w:val="none" w:sz="0" w:space="0" w:color="auto"/>
            <w:bottom w:val="none" w:sz="0" w:space="0" w:color="auto"/>
            <w:right w:val="none" w:sz="0" w:space="0" w:color="auto"/>
          </w:divBdr>
        </w:div>
      </w:divsChild>
    </w:div>
    <w:div w:id="1326663755">
      <w:bodyDiv w:val="1"/>
      <w:marLeft w:val="0"/>
      <w:marRight w:val="0"/>
      <w:marTop w:val="0"/>
      <w:marBottom w:val="0"/>
      <w:divBdr>
        <w:top w:val="none" w:sz="0" w:space="0" w:color="auto"/>
        <w:left w:val="none" w:sz="0" w:space="0" w:color="auto"/>
        <w:bottom w:val="none" w:sz="0" w:space="0" w:color="auto"/>
        <w:right w:val="none" w:sz="0" w:space="0" w:color="auto"/>
      </w:divBdr>
    </w:div>
    <w:div w:id="1498230708">
      <w:bodyDiv w:val="1"/>
      <w:marLeft w:val="0"/>
      <w:marRight w:val="0"/>
      <w:marTop w:val="0"/>
      <w:marBottom w:val="0"/>
      <w:divBdr>
        <w:top w:val="none" w:sz="0" w:space="0" w:color="auto"/>
        <w:left w:val="none" w:sz="0" w:space="0" w:color="auto"/>
        <w:bottom w:val="none" w:sz="0" w:space="0" w:color="auto"/>
        <w:right w:val="none" w:sz="0" w:space="0" w:color="auto"/>
      </w:divBdr>
    </w:div>
    <w:div w:id="1608078289">
      <w:bodyDiv w:val="1"/>
      <w:marLeft w:val="0"/>
      <w:marRight w:val="0"/>
      <w:marTop w:val="0"/>
      <w:marBottom w:val="0"/>
      <w:divBdr>
        <w:top w:val="none" w:sz="0" w:space="0" w:color="auto"/>
        <w:left w:val="none" w:sz="0" w:space="0" w:color="auto"/>
        <w:bottom w:val="none" w:sz="0" w:space="0" w:color="auto"/>
        <w:right w:val="none" w:sz="0" w:space="0" w:color="auto"/>
      </w:divBdr>
    </w:div>
    <w:div w:id="1900285184">
      <w:bodyDiv w:val="1"/>
      <w:marLeft w:val="0"/>
      <w:marRight w:val="0"/>
      <w:marTop w:val="0"/>
      <w:marBottom w:val="0"/>
      <w:divBdr>
        <w:top w:val="none" w:sz="0" w:space="0" w:color="auto"/>
        <w:left w:val="none" w:sz="0" w:space="0" w:color="auto"/>
        <w:bottom w:val="none" w:sz="0" w:space="0" w:color="auto"/>
        <w:right w:val="none" w:sz="0" w:space="0" w:color="auto"/>
      </w:divBdr>
      <w:divsChild>
        <w:div w:id="947005100">
          <w:marLeft w:val="360"/>
          <w:marRight w:val="0"/>
          <w:marTop w:val="200"/>
          <w:marBottom w:val="0"/>
          <w:divBdr>
            <w:top w:val="none" w:sz="0" w:space="0" w:color="auto"/>
            <w:left w:val="none" w:sz="0" w:space="0" w:color="auto"/>
            <w:bottom w:val="none" w:sz="0" w:space="0" w:color="auto"/>
            <w:right w:val="none" w:sz="0" w:space="0" w:color="auto"/>
          </w:divBdr>
        </w:div>
        <w:div w:id="861240385">
          <w:marLeft w:val="360"/>
          <w:marRight w:val="0"/>
          <w:marTop w:val="200"/>
          <w:marBottom w:val="0"/>
          <w:divBdr>
            <w:top w:val="none" w:sz="0" w:space="0" w:color="auto"/>
            <w:left w:val="none" w:sz="0" w:space="0" w:color="auto"/>
            <w:bottom w:val="none" w:sz="0" w:space="0" w:color="auto"/>
            <w:right w:val="none" w:sz="0" w:space="0" w:color="auto"/>
          </w:divBdr>
        </w:div>
        <w:div w:id="1641183499">
          <w:marLeft w:val="360"/>
          <w:marRight w:val="0"/>
          <w:marTop w:val="200"/>
          <w:marBottom w:val="0"/>
          <w:divBdr>
            <w:top w:val="none" w:sz="0" w:space="0" w:color="auto"/>
            <w:left w:val="none" w:sz="0" w:space="0" w:color="auto"/>
            <w:bottom w:val="none" w:sz="0" w:space="0" w:color="auto"/>
            <w:right w:val="none" w:sz="0" w:space="0" w:color="auto"/>
          </w:divBdr>
        </w:div>
        <w:div w:id="93090397">
          <w:marLeft w:val="360"/>
          <w:marRight w:val="0"/>
          <w:marTop w:val="200"/>
          <w:marBottom w:val="0"/>
          <w:divBdr>
            <w:top w:val="none" w:sz="0" w:space="0" w:color="auto"/>
            <w:left w:val="none" w:sz="0" w:space="0" w:color="auto"/>
            <w:bottom w:val="none" w:sz="0" w:space="0" w:color="auto"/>
            <w:right w:val="none" w:sz="0" w:space="0" w:color="auto"/>
          </w:divBdr>
        </w:div>
        <w:div w:id="1533223901">
          <w:marLeft w:val="360"/>
          <w:marRight w:val="0"/>
          <w:marTop w:val="200"/>
          <w:marBottom w:val="0"/>
          <w:divBdr>
            <w:top w:val="none" w:sz="0" w:space="0" w:color="auto"/>
            <w:left w:val="none" w:sz="0" w:space="0" w:color="auto"/>
            <w:bottom w:val="none" w:sz="0" w:space="0" w:color="auto"/>
            <w:right w:val="none" w:sz="0" w:space="0" w:color="auto"/>
          </w:divBdr>
        </w:div>
      </w:divsChild>
    </w:div>
    <w:div w:id="203214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Claire.Earp - SCH.351</cp:lastModifiedBy>
  <cp:revision>2</cp:revision>
  <cp:lastPrinted>2018-01-01T13:50:00Z</cp:lastPrinted>
  <dcterms:created xsi:type="dcterms:W3CDTF">2022-09-05T13:50:00Z</dcterms:created>
  <dcterms:modified xsi:type="dcterms:W3CDTF">2022-09-05T13:50:00Z</dcterms:modified>
</cp:coreProperties>
</file>