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94"/>
        <w:gridCol w:w="3612"/>
        <w:gridCol w:w="1005"/>
      </w:tblGrid>
      <w:tr w:rsidR="005B090A" w:rsidRPr="00DB4C2B" w14:paraId="132B4249" w14:textId="77777777" w:rsidTr="364406E3">
        <w:tc>
          <w:tcPr>
            <w:tcW w:w="5111" w:type="dxa"/>
            <w:gridSpan w:val="3"/>
            <w:shd w:val="clear" w:color="auto" w:fill="FFCCCC"/>
            <w:vAlign w:val="center"/>
          </w:tcPr>
          <w:p w14:paraId="359B843C" w14:textId="77777777" w:rsidR="005B090A" w:rsidRPr="00E12F6E" w:rsidRDefault="005B090A" w:rsidP="005B090A">
            <w:pPr>
              <w:jc w:val="center"/>
              <w:rPr>
                <w:rFonts w:ascii="Twinkl" w:hAnsi="Twinkl"/>
                <w:b/>
                <w:sz w:val="16"/>
                <w:szCs w:val="16"/>
              </w:rPr>
            </w:pPr>
            <w:r w:rsidRPr="00E12F6E">
              <w:rPr>
                <w:rFonts w:ascii="Twinkl" w:hAnsi="Twinkl"/>
                <w:b/>
                <w:sz w:val="16"/>
                <w:szCs w:val="16"/>
              </w:rPr>
              <w:t>Discern</w:t>
            </w:r>
          </w:p>
          <w:p w14:paraId="2A2CC917" w14:textId="77777777" w:rsidR="005B090A" w:rsidRPr="00E12F6E" w:rsidRDefault="005B090A" w:rsidP="005B090A">
            <w:pPr>
              <w:jc w:val="center"/>
              <w:rPr>
                <w:rFonts w:ascii="Twinkl" w:hAnsi="Twinkl"/>
                <w:sz w:val="16"/>
                <w:szCs w:val="16"/>
              </w:rPr>
            </w:pPr>
            <w:r w:rsidRPr="00E12F6E">
              <w:rPr>
                <w:rFonts w:ascii="Twinkl" w:hAnsi="Twinkl"/>
                <w:sz w:val="16"/>
                <w:szCs w:val="16"/>
              </w:rPr>
              <w:t>By the end of this unit of study, pupils will be able to talk and think creatively and critically about what they have studied, for example, through:</w:t>
            </w:r>
          </w:p>
        </w:tc>
      </w:tr>
      <w:tr w:rsidR="0030531C" w:rsidRPr="00DB4C2B" w14:paraId="7C9B0BD3" w14:textId="77777777" w:rsidTr="364406E3">
        <w:trPr>
          <w:cantSplit/>
          <w:trHeight w:val="766"/>
        </w:trPr>
        <w:tc>
          <w:tcPr>
            <w:tcW w:w="494" w:type="dxa"/>
            <w:shd w:val="clear" w:color="auto" w:fill="FFCCCC"/>
            <w:textDirection w:val="btLr"/>
            <w:vAlign w:val="center"/>
          </w:tcPr>
          <w:p w14:paraId="7D9AB691"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D4.4.1</w:t>
            </w:r>
          </w:p>
        </w:tc>
        <w:tc>
          <w:tcPr>
            <w:tcW w:w="3612" w:type="dxa"/>
            <w:shd w:val="clear" w:color="auto" w:fill="FFCCCC"/>
            <w:vAlign w:val="center"/>
          </w:tcPr>
          <w:p w14:paraId="335AE6E4" w14:textId="77777777" w:rsidR="0030531C" w:rsidRPr="00E12F6E" w:rsidRDefault="0030531C" w:rsidP="0030531C">
            <w:pPr>
              <w:jc w:val="center"/>
              <w:rPr>
                <w:rFonts w:ascii="Twinkl" w:hAnsi="Twinkl"/>
                <w:sz w:val="16"/>
                <w:szCs w:val="16"/>
              </w:rPr>
            </w:pPr>
            <w:r w:rsidRPr="00E12F6E">
              <w:rPr>
                <w:rFonts w:ascii="Twinkl" w:hAnsi="Twinkl"/>
                <w:sz w:val="16"/>
                <w:szCs w:val="16"/>
              </w:rPr>
              <w:t>Considering why St Peter might have turned away from Jesus and how that made him feel making connections with when they have let people down or broken a promise.</w:t>
            </w:r>
          </w:p>
        </w:tc>
        <w:tc>
          <w:tcPr>
            <w:tcW w:w="1005" w:type="dxa"/>
            <w:shd w:val="clear" w:color="auto" w:fill="FFCCCC"/>
            <w:vAlign w:val="center"/>
          </w:tcPr>
          <w:p w14:paraId="41588960" w14:textId="77777777" w:rsidR="0030531C" w:rsidRPr="00DB4C2B" w:rsidRDefault="0030531C" w:rsidP="0030531C">
            <w:pPr>
              <w:jc w:val="center"/>
              <w:rPr>
                <w:rFonts w:ascii="Twinkl" w:hAnsi="Twinkl"/>
              </w:rPr>
            </w:pPr>
          </w:p>
        </w:tc>
      </w:tr>
      <w:tr w:rsidR="0030531C" w:rsidRPr="00DB4C2B" w14:paraId="600952CE" w14:textId="77777777" w:rsidTr="364406E3">
        <w:trPr>
          <w:cantSplit/>
          <w:trHeight w:val="835"/>
        </w:trPr>
        <w:tc>
          <w:tcPr>
            <w:tcW w:w="494" w:type="dxa"/>
            <w:shd w:val="clear" w:color="auto" w:fill="FFCCCC"/>
            <w:textDirection w:val="btLr"/>
            <w:vAlign w:val="center"/>
          </w:tcPr>
          <w:p w14:paraId="6321A9B1"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D4.4.2</w:t>
            </w:r>
          </w:p>
        </w:tc>
        <w:tc>
          <w:tcPr>
            <w:tcW w:w="3612" w:type="dxa"/>
            <w:shd w:val="clear" w:color="auto" w:fill="FFCCCC"/>
            <w:vAlign w:val="center"/>
          </w:tcPr>
          <w:p w14:paraId="1D77D7E0" w14:textId="77777777" w:rsidR="0030531C" w:rsidRPr="00E12F6E" w:rsidRDefault="0030531C" w:rsidP="0030531C">
            <w:pPr>
              <w:jc w:val="center"/>
              <w:rPr>
                <w:rFonts w:ascii="Twinkl" w:hAnsi="Twinkl"/>
                <w:sz w:val="16"/>
                <w:szCs w:val="16"/>
              </w:rPr>
            </w:pPr>
            <w:r w:rsidRPr="00E12F6E">
              <w:rPr>
                <w:rFonts w:ascii="Twinkl" w:hAnsi="Twinkl"/>
                <w:sz w:val="16"/>
                <w:szCs w:val="16"/>
              </w:rPr>
              <w:t>Expressing a point of view about the difference between the people who are like sheep and the people who are like goats in the Judgement of Nations.</w:t>
            </w:r>
          </w:p>
        </w:tc>
        <w:tc>
          <w:tcPr>
            <w:tcW w:w="1005" w:type="dxa"/>
            <w:shd w:val="clear" w:color="auto" w:fill="FFCCCC"/>
            <w:vAlign w:val="center"/>
          </w:tcPr>
          <w:p w14:paraId="19A1676C" w14:textId="77777777" w:rsidR="0030531C" w:rsidRPr="00DB4C2B" w:rsidRDefault="0030531C" w:rsidP="0030531C">
            <w:pPr>
              <w:jc w:val="center"/>
              <w:rPr>
                <w:rFonts w:ascii="Twinkl" w:hAnsi="Twinkl"/>
              </w:rPr>
            </w:pPr>
          </w:p>
        </w:tc>
      </w:tr>
      <w:tr w:rsidR="0030531C" w:rsidRPr="00DB4C2B" w14:paraId="2AAA2F61" w14:textId="77777777" w:rsidTr="364406E3">
        <w:trPr>
          <w:cantSplit/>
          <w:trHeight w:val="835"/>
        </w:trPr>
        <w:tc>
          <w:tcPr>
            <w:tcW w:w="494" w:type="dxa"/>
            <w:shd w:val="clear" w:color="auto" w:fill="FFCCCC"/>
            <w:textDirection w:val="btLr"/>
            <w:vAlign w:val="center"/>
          </w:tcPr>
          <w:p w14:paraId="60BA87FE"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D4.4.3</w:t>
            </w:r>
          </w:p>
        </w:tc>
        <w:tc>
          <w:tcPr>
            <w:tcW w:w="3612" w:type="dxa"/>
            <w:shd w:val="clear" w:color="auto" w:fill="FFCCCC"/>
            <w:vAlign w:val="center"/>
          </w:tcPr>
          <w:p w14:paraId="6F000F56" w14:textId="77777777" w:rsidR="0030531C" w:rsidRPr="00E12F6E" w:rsidRDefault="0030531C" w:rsidP="364406E3">
            <w:pPr>
              <w:jc w:val="center"/>
              <w:rPr>
                <w:rFonts w:ascii="Twinkl" w:hAnsi="Twinkl"/>
                <w:sz w:val="16"/>
                <w:szCs w:val="16"/>
              </w:rPr>
            </w:pPr>
            <w:r w:rsidRPr="00E12F6E">
              <w:rPr>
                <w:rFonts w:ascii="Twinkl" w:hAnsi="Twinkl"/>
                <w:sz w:val="16"/>
                <w:szCs w:val="16"/>
              </w:rPr>
              <w:t>Making connections between being a Christian and choosing to live out the ‘Works of Mercy’. (RVE)</w:t>
            </w:r>
          </w:p>
        </w:tc>
        <w:tc>
          <w:tcPr>
            <w:tcW w:w="1005" w:type="dxa"/>
            <w:shd w:val="clear" w:color="auto" w:fill="FFCCCC"/>
            <w:vAlign w:val="center"/>
          </w:tcPr>
          <w:p w14:paraId="70593DF1" w14:textId="77777777" w:rsidR="0030531C" w:rsidRPr="00DB4C2B" w:rsidRDefault="0030531C" w:rsidP="0030531C">
            <w:pPr>
              <w:jc w:val="center"/>
              <w:rPr>
                <w:rFonts w:ascii="Twinkl" w:hAnsi="Twinkl"/>
              </w:rPr>
            </w:pPr>
          </w:p>
        </w:tc>
      </w:tr>
      <w:tr w:rsidR="005B090A" w:rsidRPr="00DB4C2B" w14:paraId="791F0FFE" w14:textId="77777777" w:rsidTr="364406E3">
        <w:trPr>
          <w:cantSplit/>
          <w:trHeight w:val="907"/>
        </w:trPr>
        <w:tc>
          <w:tcPr>
            <w:tcW w:w="5111" w:type="dxa"/>
            <w:gridSpan w:val="3"/>
            <w:shd w:val="clear" w:color="auto" w:fill="D0CECE" w:themeFill="background2" w:themeFillShade="E6"/>
            <w:vAlign w:val="center"/>
          </w:tcPr>
          <w:p w14:paraId="5DE85435" w14:textId="77777777" w:rsidR="005B090A" w:rsidRPr="00E12F6E" w:rsidRDefault="005B090A" w:rsidP="009333CD">
            <w:pPr>
              <w:jc w:val="center"/>
              <w:rPr>
                <w:rFonts w:ascii="Twinkl" w:hAnsi="Twinkl"/>
                <w:b/>
                <w:sz w:val="16"/>
                <w:szCs w:val="16"/>
              </w:rPr>
            </w:pPr>
            <w:r w:rsidRPr="00E12F6E">
              <w:rPr>
                <w:rFonts w:ascii="Twinkl" w:hAnsi="Twinkl"/>
                <w:b/>
                <w:sz w:val="16"/>
                <w:szCs w:val="16"/>
              </w:rPr>
              <w:t>Respond</w:t>
            </w:r>
          </w:p>
          <w:p w14:paraId="34F36965" w14:textId="77777777" w:rsidR="005B090A" w:rsidRPr="00E12F6E" w:rsidRDefault="005B090A" w:rsidP="009333CD">
            <w:pPr>
              <w:jc w:val="center"/>
              <w:rPr>
                <w:rFonts w:ascii="Twinkl" w:hAnsi="Twinkl"/>
                <w:sz w:val="16"/>
                <w:szCs w:val="16"/>
              </w:rPr>
            </w:pPr>
            <w:r w:rsidRPr="00E12F6E">
              <w:rPr>
                <w:rFonts w:ascii="Twinkl" w:hAnsi="Twinkl"/>
                <w:sz w:val="16"/>
                <w:szCs w:val="16"/>
              </w:rPr>
              <w:t>During this unit of study, pupils will be invited to respond to their learning, for example by:</w:t>
            </w:r>
          </w:p>
        </w:tc>
      </w:tr>
      <w:tr w:rsidR="0030531C" w:rsidRPr="00DB4C2B" w14:paraId="2F378A63" w14:textId="77777777" w:rsidTr="364406E3">
        <w:trPr>
          <w:cantSplit/>
          <w:trHeight w:val="888"/>
        </w:trPr>
        <w:tc>
          <w:tcPr>
            <w:tcW w:w="494" w:type="dxa"/>
            <w:shd w:val="clear" w:color="auto" w:fill="D0CECE" w:themeFill="background2" w:themeFillShade="E6"/>
            <w:textDirection w:val="btLr"/>
            <w:vAlign w:val="center"/>
          </w:tcPr>
          <w:p w14:paraId="37B58E57"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R4.4.1</w:t>
            </w:r>
          </w:p>
        </w:tc>
        <w:tc>
          <w:tcPr>
            <w:tcW w:w="3612" w:type="dxa"/>
            <w:shd w:val="clear" w:color="auto" w:fill="D0CECE" w:themeFill="background2" w:themeFillShade="E6"/>
          </w:tcPr>
          <w:p w14:paraId="4B227E3D" w14:textId="77777777" w:rsidR="0030531C" w:rsidRPr="00E12F6E" w:rsidRDefault="0030531C" w:rsidP="0030531C">
            <w:pPr>
              <w:jc w:val="center"/>
              <w:rPr>
                <w:rFonts w:ascii="Twinkl" w:hAnsi="Twinkl"/>
                <w:sz w:val="16"/>
                <w:szCs w:val="16"/>
              </w:rPr>
            </w:pPr>
            <w:r w:rsidRPr="00E12F6E">
              <w:rPr>
                <w:rFonts w:ascii="Twinkl" w:hAnsi="Twinkl"/>
                <w:sz w:val="16"/>
                <w:szCs w:val="16"/>
              </w:rPr>
              <w:t>Reflecting on how the life and work of a person or organisation (historical or contemporary) lives out the works of mercy and/or the love for those oppressed by poverty and the inspiration they offer for their life. (RVE)</w:t>
            </w:r>
          </w:p>
        </w:tc>
        <w:tc>
          <w:tcPr>
            <w:tcW w:w="1005" w:type="dxa"/>
            <w:shd w:val="clear" w:color="auto" w:fill="D0CECE" w:themeFill="background2" w:themeFillShade="E6"/>
            <w:vAlign w:val="center"/>
          </w:tcPr>
          <w:p w14:paraId="0551D3D0" w14:textId="77777777" w:rsidR="0030531C" w:rsidRPr="00DB4C2B" w:rsidRDefault="0030531C" w:rsidP="0030531C">
            <w:pPr>
              <w:jc w:val="center"/>
              <w:rPr>
                <w:rFonts w:ascii="Twinkl" w:hAnsi="Twinkl"/>
              </w:rPr>
            </w:pPr>
          </w:p>
        </w:tc>
      </w:tr>
      <w:tr w:rsidR="0030531C" w:rsidRPr="00DB4C2B" w14:paraId="3A4799C4" w14:textId="77777777" w:rsidTr="364406E3">
        <w:trPr>
          <w:cantSplit/>
          <w:trHeight w:val="738"/>
        </w:trPr>
        <w:tc>
          <w:tcPr>
            <w:tcW w:w="494" w:type="dxa"/>
            <w:shd w:val="clear" w:color="auto" w:fill="D0CECE" w:themeFill="background2" w:themeFillShade="E6"/>
            <w:textDirection w:val="btLr"/>
            <w:vAlign w:val="center"/>
          </w:tcPr>
          <w:p w14:paraId="00C4B7CF"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R4.4.2</w:t>
            </w:r>
          </w:p>
        </w:tc>
        <w:tc>
          <w:tcPr>
            <w:tcW w:w="3612" w:type="dxa"/>
            <w:shd w:val="clear" w:color="auto" w:fill="D0CECE" w:themeFill="background2" w:themeFillShade="E6"/>
          </w:tcPr>
          <w:p w14:paraId="15CC2A63" w14:textId="77777777" w:rsidR="0030531C" w:rsidRPr="00E12F6E" w:rsidRDefault="0030531C" w:rsidP="0030531C">
            <w:pPr>
              <w:jc w:val="center"/>
              <w:rPr>
                <w:rFonts w:ascii="Twinkl" w:hAnsi="Twinkl"/>
                <w:sz w:val="16"/>
                <w:szCs w:val="16"/>
              </w:rPr>
            </w:pPr>
            <w:r w:rsidRPr="00E12F6E">
              <w:rPr>
                <w:rFonts w:ascii="Twinkl" w:hAnsi="Twinkl"/>
                <w:sz w:val="16"/>
                <w:szCs w:val="16"/>
              </w:rPr>
              <w:t>Reflecting on what it is they need to change about themselves during Lent to be better people and discuss how focusing on one of the acts of mercy could help with this, for example, caring for the most vulnerable in their communities. (RVE)</w:t>
            </w:r>
          </w:p>
        </w:tc>
        <w:tc>
          <w:tcPr>
            <w:tcW w:w="1005" w:type="dxa"/>
            <w:shd w:val="clear" w:color="auto" w:fill="D0CECE" w:themeFill="background2" w:themeFillShade="E6"/>
            <w:vAlign w:val="center"/>
          </w:tcPr>
          <w:p w14:paraId="5482D58E" w14:textId="77777777" w:rsidR="0030531C" w:rsidRPr="00DB4C2B" w:rsidRDefault="0030531C" w:rsidP="0030531C">
            <w:pPr>
              <w:jc w:val="center"/>
              <w:rPr>
                <w:rFonts w:ascii="Twinkl" w:hAnsi="Twinkl"/>
              </w:rPr>
            </w:pPr>
          </w:p>
        </w:tc>
      </w:tr>
      <w:tr w:rsidR="0030531C" w:rsidRPr="00DB4C2B" w14:paraId="08ABDC3C" w14:textId="77777777" w:rsidTr="364406E3">
        <w:trPr>
          <w:cantSplit/>
          <w:trHeight w:val="738"/>
        </w:trPr>
        <w:tc>
          <w:tcPr>
            <w:tcW w:w="494" w:type="dxa"/>
            <w:shd w:val="clear" w:color="auto" w:fill="D0CECE" w:themeFill="background2" w:themeFillShade="E6"/>
            <w:textDirection w:val="btLr"/>
            <w:vAlign w:val="center"/>
          </w:tcPr>
          <w:p w14:paraId="67E2C905" w14:textId="77777777" w:rsidR="0030531C" w:rsidRPr="00E12F6E" w:rsidRDefault="0030531C" w:rsidP="0030531C">
            <w:pPr>
              <w:ind w:left="113" w:right="113"/>
              <w:jc w:val="center"/>
              <w:rPr>
                <w:rFonts w:ascii="Twinkl" w:hAnsi="Twinkl"/>
                <w:sz w:val="16"/>
                <w:szCs w:val="16"/>
              </w:rPr>
            </w:pPr>
            <w:r w:rsidRPr="00E12F6E">
              <w:rPr>
                <w:rFonts w:ascii="Twinkl" w:hAnsi="Twinkl"/>
                <w:sz w:val="16"/>
                <w:szCs w:val="16"/>
              </w:rPr>
              <w:t>R4.4.3</w:t>
            </w:r>
          </w:p>
        </w:tc>
        <w:tc>
          <w:tcPr>
            <w:tcW w:w="3612" w:type="dxa"/>
            <w:shd w:val="clear" w:color="auto" w:fill="D0CECE" w:themeFill="background2" w:themeFillShade="E6"/>
          </w:tcPr>
          <w:p w14:paraId="0246B656" w14:textId="77777777" w:rsidR="0030531C" w:rsidRPr="00E12F6E" w:rsidRDefault="0030531C" w:rsidP="0030531C">
            <w:pPr>
              <w:jc w:val="center"/>
              <w:rPr>
                <w:rFonts w:ascii="Twinkl" w:hAnsi="Twinkl"/>
                <w:sz w:val="16"/>
                <w:szCs w:val="16"/>
              </w:rPr>
            </w:pPr>
            <w:r w:rsidRPr="00E12F6E">
              <w:rPr>
                <w:rFonts w:ascii="Twinkl" w:hAnsi="Twinkl"/>
                <w:sz w:val="16"/>
                <w:szCs w:val="16"/>
              </w:rPr>
              <w:t>Considering how their own lives and the future of the communities to which they belong could be transformed by what they have learned about forgiveness. (RVE)</w:t>
            </w:r>
          </w:p>
        </w:tc>
        <w:tc>
          <w:tcPr>
            <w:tcW w:w="1005" w:type="dxa"/>
            <w:shd w:val="clear" w:color="auto" w:fill="D0CECE" w:themeFill="background2" w:themeFillShade="E6"/>
            <w:vAlign w:val="center"/>
          </w:tcPr>
          <w:p w14:paraId="6DCDBBD5" w14:textId="77777777" w:rsidR="0030531C" w:rsidRPr="00DB4C2B" w:rsidRDefault="0030531C" w:rsidP="0030531C">
            <w:pPr>
              <w:jc w:val="center"/>
              <w:rPr>
                <w:rFonts w:ascii="Twinkl" w:hAnsi="Twinkl"/>
              </w:rPr>
            </w:pPr>
          </w:p>
        </w:tc>
      </w:tr>
    </w:tbl>
    <w:p w14:paraId="442CABF5" w14:textId="77777777" w:rsidR="00FB6CEA" w:rsidRDefault="00416B90" w:rsidP="00FB6CEA">
      <w:r>
        <w:rPr>
          <w:noProof/>
        </w:rPr>
        <w:drawing>
          <wp:inline distT="0" distB="0" distL="0" distR="0" wp14:anchorId="5661F6BD" wp14:editId="55EBC932">
            <wp:extent cx="9517380" cy="1097280"/>
            <wp:effectExtent l="0" t="19050" r="0" b="457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494"/>
        <w:gridCol w:w="3342"/>
        <w:gridCol w:w="1275"/>
      </w:tblGrid>
      <w:tr w:rsidR="00FB6CEA" w:rsidRPr="003400DF" w14:paraId="750A65B5" w14:textId="77777777" w:rsidTr="00C178F5">
        <w:tc>
          <w:tcPr>
            <w:tcW w:w="5111" w:type="dxa"/>
            <w:gridSpan w:val="3"/>
            <w:shd w:val="clear" w:color="auto" w:fill="D9E2F3" w:themeFill="accent1" w:themeFillTint="33"/>
            <w:vAlign w:val="center"/>
          </w:tcPr>
          <w:p w14:paraId="00CDBEC2" w14:textId="77777777" w:rsidR="00FB6CEA" w:rsidRPr="00E12F6E" w:rsidRDefault="00FB6CEA" w:rsidP="00C178F5">
            <w:pPr>
              <w:jc w:val="center"/>
              <w:rPr>
                <w:rFonts w:ascii="Twinkl" w:hAnsi="Twinkl"/>
                <w:b/>
                <w:sz w:val="16"/>
                <w:szCs w:val="16"/>
              </w:rPr>
            </w:pPr>
            <w:r w:rsidRPr="00E12F6E">
              <w:rPr>
                <w:rFonts w:ascii="Twinkl" w:hAnsi="Twinkl"/>
                <w:b/>
                <w:sz w:val="16"/>
                <w:szCs w:val="16"/>
              </w:rPr>
              <w:t xml:space="preserve">Understand </w:t>
            </w:r>
          </w:p>
          <w:p w14:paraId="701BC967" w14:textId="77777777" w:rsidR="00FB6CEA" w:rsidRPr="00E12F6E" w:rsidRDefault="00FB6CEA" w:rsidP="00C178F5">
            <w:pPr>
              <w:jc w:val="center"/>
              <w:rPr>
                <w:rFonts w:ascii="Twinkl" w:hAnsi="Twinkl"/>
                <w:sz w:val="16"/>
                <w:szCs w:val="16"/>
              </w:rPr>
            </w:pPr>
            <w:r w:rsidRPr="00E12F6E">
              <w:rPr>
                <w:rFonts w:ascii="Twinkl" w:hAnsi="Twinkl"/>
                <w:sz w:val="16"/>
                <w:szCs w:val="16"/>
              </w:rPr>
              <w:t>By the end of this unit of study, pupils will be able to:</w:t>
            </w:r>
          </w:p>
        </w:tc>
      </w:tr>
      <w:tr w:rsidR="0030531C" w:rsidRPr="003400DF" w14:paraId="7150BC31" w14:textId="77777777" w:rsidTr="0030531C">
        <w:trPr>
          <w:cantSplit/>
          <w:trHeight w:val="907"/>
        </w:trPr>
        <w:tc>
          <w:tcPr>
            <w:tcW w:w="494" w:type="dxa"/>
            <w:shd w:val="clear" w:color="auto" w:fill="D9E2F3" w:themeFill="accent1" w:themeFillTint="33"/>
            <w:textDirection w:val="btLr"/>
            <w:vAlign w:val="center"/>
          </w:tcPr>
          <w:p w14:paraId="2AECCEB6" w14:textId="77777777" w:rsidR="0030531C" w:rsidRPr="003400DF" w:rsidRDefault="0030531C" w:rsidP="0030531C">
            <w:pPr>
              <w:ind w:left="113" w:right="113"/>
              <w:jc w:val="center"/>
              <w:rPr>
                <w:rFonts w:ascii="Twinkl" w:hAnsi="Twinkl"/>
                <w:sz w:val="18"/>
              </w:rPr>
            </w:pPr>
            <w:r w:rsidRPr="00C637D1">
              <w:rPr>
                <w:rFonts w:ascii="Twinkl" w:hAnsi="Twinkl"/>
                <w:sz w:val="18"/>
              </w:rPr>
              <w:t>U</w:t>
            </w:r>
            <w:r>
              <w:rPr>
                <w:rFonts w:ascii="Twinkl" w:hAnsi="Twinkl"/>
                <w:sz w:val="18"/>
              </w:rPr>
              <w:t>4</w:t>
            </w:r>
            <w:r w:rsidRPr="00C637D1">
              <w:rPr>
                <w:rFonts w:ascii="Twinkl" w:hAnsi="Twinkl"/>
                <w:sz w:val="18"/>
              </w:rPr>
              <w:t>.</w:t>
            </w:r>
            <w:r>
              <w:rPr>
                <w:rFonts w:ascii="Twinkl" w:hAnsi="Twinkl"/>
                <w:sz w:val="18"/>
              </w:rPr>
              <w:t>4.1</w:t>
            </w:r>
          </w:p>
        </w:tc>
        <w:tc>
          <w:tcPr>
            <w:tcW w:w="3342" w:type="dxa"/>
            <w:shd w:val="clear" w:color="auto" w:fill="D9E2F3" w:themeFill="accent1" w:themeFillTint="33"/>
            <w:vAlign w:val="center"/>
          </w:tcPr>
          <w:p w14:paraId="59C2DCA1" w14:textId="77777777" w:rsidR="0030531C" w:rsidRPr="00E12F6E" w:rsidRDefault="0030531C" w:rsidP="0030531C">
            <w:pPr>
              <w:jc w:val="center"/>
              <w:rPr>
                <w:rFonts w:ascii="Twinkl" w:hAnsi="Twinkl"/>
                <w:sz w:val="16"/>
                <w:szCs w:val="16"/>
              </w:rPr>
            </w:pPr>
            <w:r w:rsidRPr="00E12F6E">
              <w:rPr>
                <w:rFonts w:ascii="Twinkl" w:hAnsi="Twinkl"/>
                <w:sz w:val="16"/>
                <w:szCs w:val="16"/>
              </w:rPr>
              <w:t>Retell, with increasing detail, the parable of the prodigal son, and make simple connections with Christian beliefs about God’s mercy and forgiveness.</w:t>
            </w:r>
          </w:p>
        </w:tc>
        <w:tc>
          <w:tcPr>
            <w:tcW w:w="1275" w:type="dxa"/>
            <w:shd w:val="clear" w:color="auto" w:fill="D9E2F3" w:themeFill="accent1" w:themeFillTint="33"/>
            <w:vAlign w:val="center"/>
          </w:tcPr>
          <w:p w14:paraId="2396F564" w14:textId="77777777" w:rsidR="0030531C" w:rsidRPr="00E12F6E" w:rsidRDefault="0030531C" w:rsidP="0030531C">
            <w:pPr>
              <w:jc w:val="center"/>
              <w:rPr>
                <w:rFonts w:ascii="Twinkl" w:hAnsi="Twinkl"/>
                <w:sz w:val="16"/>
                <w:szCs w:val="16"/>
              </w:rPr>
            </w:pPr>
          </w:p>
        </w:tc>
      </w:tr>
      <w:tr w:rsidR="0030531C" w:rsidRPr="003400DF" w14:paraId="37243CBF" w14:textId="77777777" w:rsidTr="0030531C">
        <w:trPr>
          <w:cantSplit/>
          <w:trHeight w:val="670"/>
        </w:trPr>
        <w:tc>
          <w:tcPr>
            <w:tcW w:w="494" w:type="dxa"/>
            <w:shd w:val="clear" w:color="auto" w:fill="D9E2F3" w:themeFill="accent1" w:themeFillTint="33"/>
            <w:textDirection w:val="btLr"/>
            <w:vAlign w:val="center"/>
          </w:tcPr>
          <w:p w14:paraId="41508CDA" w14:textId="77777777" w:rsidR="0030531C" w:rsidRPr="003400DF" w:rsidRDefault="0030531C" w:rsidP="0030531C">
            <w:pPr>
              <w:ind w:left="113" w:right="113"/>
              <w:jc w:val="center"/>
              <w:rPr>
                <w:rFonts w:ascii="Twinkl" w:hAnsi="Twinkl"/>
                <w:sz w:val="18"/>
              </w:rPr>
            </w:pPr>
            <w:r>
              <w:rPr>
                <w:rFonts w:ascii="Twinkl" w:hAnsi="Twinkl"/>
                <w:sz w:val="18"/>
              </w:rPr>
              <w:t>U4.4.2</w:t>
            </w:r>
          </w:p>
        </w:tc>
        <w:tc>
          <w:tcPr>
            <w:tcW w:w="3342" w:type="dxa"/>
            <w:shd w:val="clear" w:color="auto" w:fill="D9E2F3" w:themeFill="accent1" w:themeFillTint="33"/>
            <w:vAlign w:val="center"/>
          </w:tcPr>
          <w:p w14:paraId="4A385425" w14:textId="77777777" w:rsidR="0030531C" w:rsidRPr="00E12F6E" w:rsidRDefault="0030531C" w:rsidP="0030531C">
            <w:pPr>
              <w:jc w:val="center"/>
              <w:rPr>
                <w:rFonts w:ascii="Twinkl" w:hAnsi="Twinkl"/>
                <w:sz w:val="16"/>
                <w:szCs w:val="16"/>
              </w:rPr>
            </w:pPr>
            <w:r w:rsidRPr="00E12F6E">
              <w:rPr>
                <w:rFonts w:ascii="Twinkl" w:hAnsi="Twinkl"/>
                <w:sz w:val="16"/>
                <w:szCs w:val="16"/>
              </w:rPr>
              <w:t>Make simple connections with the Judgement of Nations parable and the Christian belief that helping others is part of loving God.</w:t>
            </w:r>
          </w:p>
        </w:tc>
        <w:tc>
          <w:tcPr>
            <w:tcW w:w="1275" w:type="dxa"/>
            <w:shd w:val="clear" w:color="auto" w:fill="D9E2F3" w:themeFill="accent1" w:themeFillTint="33"/>
            <w:vAlign w:val="center"/>
          </w:tcPr>
          <w:p w14:paraId="6E00FE2F" w14:textId="77777777" w:rsidR="0030531C" w:rsidRPr="00E12F6E" w:rsidRDefault="0030531C" w:rsidP="0030531C">
            <w:pPr>
              <w:jc w:val="center"/>
              <w:rPr>
                <w:rFonts w:ascii="Twinkl" w:hAnsi="Twinkl"/>
                <w:sz w:val="16"/>
                <w:szCs w:val="16"/>
              </w:rPr>
            </w:pPr>
          </w:p>
        </w:tc>
      </w:tr>
      <w:tr w:rsidR="0030531C" w:rsidRPr="003400DF" w14:paraId="213407D6" w14:textId="77777777" w:rsidTr="0030531C">
        <w:trPr>
          <w:cantSplit/>
          <w:trHeight w:val="907"/>
        </w:trPr>
        <w:tc>
          <w:tcPr>
            <w:tcW w:w="494" w:type="dxa"/>
            <w:shd w:val="clear" w:color="auto" w:fill="D9E2F3" w:themeFill="accent1" w:themeFillTint="33"/>
            <w:textDirection w:val="btLr"/>
            <w:vAlign w:val="center"/>
          </w:tcPr>
          <w:p w14:paraId="043B45FB" w14:textId="77777777" w:rsidR="0030531C" w:rsidRPr="003400DF" w:rsidRDefault="0030531C" w:rsidP="0030531C">
            <w:pPr>
              <w:ind w:left="113" w:right="113"/>
              <w:jc w:val="center"/>
              <w:rPr>
                <w:rFonts w:ascii="Twinkl" w:hAnsi="Twinkl"/>
                <w:sz w:val="18"/>
              </w:rPr>
            </w:pPr>
            <w:r>
              <w:rPr>
                <w:rFonts w:ascii="Twinkl" w:hAnsi="Twinkl"/>
                <w:sz w:val="18"/>
              </w:rPr>
              <w:t>U4.4.3</w:t>
            </w:r>
          </w:p>
        </w:tc>
        <w:tc>
          <w:tcPr>
            <w:tcW w:w="3342" w:type="dxa"/>
            <w:shd w:val="clear" w:color="auto" w:fill="D9E2F3" w:themeFill="accent1" w:themeFillTint="33"/>
            <w:vAlign w:val="center"/>
          </w:tcPr>
          <w:p w14:paraId="70F85272" w14:textId="77777777" w:rsidR="0030531C" w:rsidRPr="00E12F6E" w:rsidRDefault="0030531C" w:rsidP="0030531C">
            <w:pPr>
              <w:jc w:val="center"/>
              <w:rPr>
                <w:rFonts w:ascii="Twinkl" w:hAnsi="Twinkl"/>
                <w:sz w:val="16"/>
                <w:szCs w:val="16"/>
              </w:rPr>
            </w:pPr>
            <w:r w:rsidRPr="00E12F6E">
              <w:rPr>
                <w:rFonts w:ascii="Twinkl" w:hAnsi="Twinkl"/>
                <w:sz w:val="16"/>
                <w:szCs w:val="16"/>
              </w:rPr>
              <w:t>Correctly sequence the events of Holy Week, describing some of the different reactions to Jesus during the events of Holy Week and how they speak to Christians today.</w:t>
            </w:r>
          </w:p>
        </w:tc>
        <w:tc>
          <w:tcPr>
            <w:tcW w:w="1275" w:type="dxa"/>
            <w:shd w:val="clear" w:color="auto" w:fill="D9E2F3" w:themeFill="accent1" w:themeFillTint="33"/>
            <w:vAlign w:val="center"/>
          </w:tcPr>
          <w:p w14:paraId="017FDC53" w14:textId="77777777" w:rsidR="0030531C" w:rsidRPr="00E12F6E" w:rsidRDefault="0030531C" w:rsidP="0030531C">
            <w:pPr>
              <w:jc w:val="center"/>
              <w:rPr>
                <w:rFonts w:ascii="Twinkl" w:hAnsi="Twinkl"/>
                <w:sz w:val="16"/>
                <w:szCs w:val="16"/>
              </w:rPr>
            </w:pPr>
          </w:p>
        </w:tc>
      </w:tr>
      <w:tr w:rsidR="0030531C" w:rsidRPr="003400DF" w14:paraId="78A147EA" w14:textId="77777777" w:rsidTr="0030531C">
        <w:trPr>
          <w:cantSplit/>
          <w:trHeight w:val="403"/>
        </w:trPr>
        <w:tc>
          <w:tcPr>
            <w:tcW w:w="494" w:type="dxa"/>
            <w:shd w:val="clear" w:color="auto" w:fill="D9E2F3" w:themeFill="accent1" w:themeFillTint="33"/>
            <w:textDirection w:val="btLr"/>
            <w:vAlign w:val="center"/>
          </w:tcPr>
          <w:p w14:paraId="641D729C" w14:textId="77777777" w:rsidR="0030531C" w:rsidRPr="003400DF" w:rsidRDefault="0030531C" w:rsidP="0030531C">
            <w:pPr>
              <w:ind w:left="113" w:right="113"/>
              <w:jc w:val="center"/>
              <w:rPr>
                <w:rFonts w:ascii="Twinkl" w:hAnsi="Twinkl"/>
                <w:sz w:val="18"/>
              </w:rPr>
            </w:pPr>
            <w:r>
              <w:rPr>
                <w:rFonts w:ascii="Twinkl" w:hAnsi="Twinkl"/>
                <w:sz w:val="18"/>
              </w:rPr>
              <w:t>U4.4.4</w:t>
            </w:r>
          </w:p>
        </w:tc>
        <w:tc>
          <w:tcPr>
            <w:tcW w:w="3342" w:type="dxa"/>
            <w:shd w:val="clear" w:color="auto" w:fill="D9E2F3" w:themeFill="accent1" w:themeFillTint="33"/>
            <w:vAlign w:val="center"/>
          </w:tcPr>
          <w:p w14:paraId="58C2B628" w14:textId="77777777" w:rsidR="0030531C" w:rsidRPr="00E12F6E" w:rsidRDefault="0030531C" w:rsidP="0030531C">
            <w:pPr>
              <w:jc w:val="center"/>
              <w:rPr>
                <w:rFonts w:ascii="Twinkl" w:hAnsi="Twinkl"/>
                <w:sz w:val="16"/>
                <w:szCs w:val="16"/>
              </w:rPr>
            </w:pPr>
            <w:r w:rsidRPr="00E12F6E">
              <w:rPr>
                <w:rFonts w:ascii="Twinkl" w:hAnsi="Twinkl"/>
                <w:sz w:val="16"/>
                <w:szCs w:val="16"/>
              </w:rPr>
              <w:t>Retell the story of St Peter during Holy Week.</w:t>
            </w:r>
          </w:p>
        </w:tc>
        <w:tc>
          <w:tcPr>
            <w:tcW w:w="1275" w:type="dxa"/>
            <w:shd w:val="clear" w:color="auto" w:fill="D9E2F3" w:themeFill="accent1" w:themeFillTint="33"/>
            <w:vAlign w:val="center"/>
          </w:tcPr>
          <w:p w14:paraId="40D2F8D8" w14:textId="77777777" w:rsidR="0030531C" w:rsidRPr="00E12F6E" w:rsidRDefault="0030531C" w:rsidP="0030531C">
            <w:pPr>
              <w:jc w:val="center"/>
              <w:rPr>
                <w:rFonts w:ascii="Twinkl" w:hAnsi="Twinkl"/>
                <w:sz w:val="16"/>
                <w:szCs w:val="16"/>
              </w:rPr>
            </w:pPr>
          </w:p>
        </w:tc>
      </w:tr>
      <w:tr w:rsidR="0030531C" w:rsidRPr="003400DF" w14:paraId="12E542A7" w14:textId="77777777" w:rsidTr="0030531C">
        <w:trPr>
          <w:cantSplit/>
          <w:trHeight w:val="907"/>
        </w:trPr>
        <w:tc>
          <w:tcPr>
            <w:tcW w:w="494" w:type="dxa"/>
            <w:shd w:val="clear" w:color="auto" w:fill="D9E2F3" w:themeFill="accent1" w:themeFillTint="33"/>
            <w:textDirection w:val="btLr"/>
            <w:vAlign w:val="center"/>
          </w:tcPr>
          <w:p w14:paraId="5E50C6DB" w14:textId="77777777" w:rsidR="0030531C" w:rsidRPr="00C637D1" w:rsidRDefault="0030531C" w:rsidP="0030531C">
            <w:pPr>
              <w:ind w:left="113" w:right="113"/>
              <w:jc w:val="center"/>
              <w:rPr>
                <w:rFonts w:ascii="Twinkl" w:hAnsi="Twinkl"/>
                <w:sz w:val="18"/>
              </w:rPr>
            </w:pPr>
            <w:r>
              <w:rPr>
                <w:rFonts w:ascii="Twinkl" w:hAnsi="Twinkl"/>
                <w:sz w:val="18"/>
              </w:rPr>
              <w:t>U4.4.5</w:t>
            </w:r>
          </w:p>
        </w:tc>
        <w:tc>
          <w:tcPr>
            <w:tcW w:w="3342" w:type="dxa"/>
            <w:shd w:val="clear" w:color="auto" w:fill="D9E2F3" w:themeFill="accent1" w:themeFillTint="33"/>
            <w:vAlign w:val="center"/>
          </w:tcPr>
          <w:p w14:paraId="5BE99A4C" w14:textId="77777777" w:rsidR="0030531C" w:rsidRPr="00E12F6E" w:rsidRDefault="0030531C" w:rsidP="0030531C">
            <w:pPr>
              <w:jc w:val="center"/>
              <w:rPr>
                <w:rFonts w:ascii="Twinkl" w:hAnsi="Twinkl"/>
                <w:sz w:val="16"/>
                <w:szCs w:val="16"/>
              </w:rPr>
            </w:pPr>
            <w:r w:rsidRPr="00E12F6E">
              <w:rPr>
                <w:rFonts w:ascii="Twinkl" w:hAnsi="Twinkl"/>
                <w:sz w:val="16"/>
                <w:szCs w:val="16"/>
              </w:rPr>
              <w:t>Correctly use developing specialist vocabulary to name and describe the corporal works of mercy, making links with the Judgements of the Nations parable.</w:t>
            </w:r>
          </w:p>
        </w:tc>
        <w:tc>
          <w:tcPr>
            <w:tcW w:w="1275" w:type="dxa"/>
            <w:shd w:val="clear" w:color="auto" w:fill="D9E2F3" w:themeFill="accent1" w:themeFillTint="33"/>
            <w:vAlign w:val="center"/>
          </w:tcPr>
          <w:p w14:paraId="2BD12E2D" w14:textId="77777777" w:rsidR="0030531C" w:rsidRPr="00E12F6E" w:rsidRDefault="0030531C" w:rsidP="0030531C">
            <w:pPr>
              <w:jc w:val="center"/>
              <w:rPr>
                <w:rFonts w:ascii="Twinkl" w:hAnsi="Twinkl"/>
                <w:sz w:val="16"/>
                <w:szCs w:val="16"/>
              </w:rPr>
            </w:pPr>
          </w:p>
        </w:tc>
      </w:tr>
      <w:tr w:rsidR="0030531C" w:rsidRPr="003400DF" w14:paraId="313CF373" w14:textId="77777777" w:rsidTr="0030531C">
        <w:trPr>
          <w:cantSplit/>
          <w:trHeight w:val="907"/>
        </w:trPr>
        <w:tc>
          <w:tcPr>
            <w:tcW w:w="494" w:type="dxa"/>
            <w:shd w:val="clear" w:color="auto" w:fill="D9E2F3" w:themeFill="accent1" w:themeFillTint="33"/>
            <w:textDirection w:val="btLr"/>
            <w:vAlign w:val="center"/>
          </w:tcPr>
          <w:p w14:paraId="003AAD08" w14:textId="77777777" w:rsidR="0030531C" w:rsidRPr="00C637D1" w:rsidRDefault="0030531C" w:rsidP="0030531C">
            <w:pPr>
              <w:ind w:left="113" w:right="113"/>
              <w:jc w:val="center"/>
              <w:rPr>
                <w:rFonts w:ascii="Twinkl" w:hAnsi="Twinkl"/>
                <w:sz w:val="18"/>
              </w:rPr>
            </w:pPr>
            <w:r>
              <w:rPr>
                <w:rFonts w:ascii="Twinkl" w:hAnsi="Twinkl"/>
                <w:sz w:val="18"/>
              </w:rPr>
              <w:t>U4.4.6</w:t>
            </w:r>
          </w:p>
        </w:tc>
        <w:tc>
          <w:tcPr>
            <w:tcW w:w="3342" w:type="dxa"/>
            <w:shd w:val="clear" w:color="auto" w:fill="D9E2F3" w:themeFill="accent1" w:themeFillTint="33"/>
            <w:vAlign w:val="center"/>
          </w:tcPr>
          <w:p w14:paraId="660CAD66" w14:textId="77777777" w:rsidR="0030531C" w:rsidRPr="00E12F6E" w:rsidRDefault="0030531C" w:rsidP="0030531C">
            <w:pPr>
              <w:jc w:val="center"/>
              <w:rPr>
                <w:rFonts w:ascii="Twinkl" w:hAnsi="Twinkl"/>
                <w:sz w:val="16"/>
                <w:szCs w:val="16"/>
              </w:rPr>
            </w:pPr>
            <w:r w:rsidRPr="00E12F6E">
              <w:rPr>
                <w:rFonts w:ascii="Twinkl" w:hAnsi="Twinkl"/>
                <w:sz w:val="16"/>
                <w:szCs w:val="16"/>
              </w:rPr>
              <w:t>Make simple connections between belonging to the Church and living out the ‘Works of Mercy’ in support of those in need (for example, giving alms in Lent or praying for someone who is sad).</w:t>
            </w:r>
          </w:p>
        </w:tc>
        <w:tc>
          <w:tcPr>
            <w:tcW w:w="1275" w:type="dxa"/>
            <w:shd w:val="clear" w:color="auto" w:fill="D9E2F3" w:themeFill="accent1" w:themeFillTint="33"/>
            <w:vAlign w:val="center"/>
          </w:tcPr>
          <w:p w14:paraId="0F650351" w14:textId="77777777" w:rsidR="0030531C" w:rsidRPr="00E12F6E" w:rsidRDefault="0030531C" w:rsidP="0030531C">
            <w:pPr>
              <w:jc w:val="center"/>
              <w:rPr>
                <w:rFonts w:ascii="Twinkl" w:hAnsi="Twinkl"/>
                <w:sz w:val="16"/>
                <w:szCs w:val="16"/>
              </w:rPr>
            </w:pPr>
          </w:p>
        </w:tc>
      </w:tr>
    </w:tbl>
    <w:p w14:paraId="0A543F06" w14:textId="77777777" w:rsidR="00FB6CEA" w:rsidRDefault="0030531C" w:rsidP="00FB6CEA">
      <w:pPr>
        <w:jc w:val="center"/>
      </w:pPr>
      <w:r>
        <w:rPr>
          <w:noProof/>
        </w:rPr>
        <w:drawing>
          <wp:inline distT="0" distB="0" distL="0" distR="0" wp14:anchorId="471C2B8A" wp14:editId="59826FDE">
            <wp:extent cx="1940910" cy="1478280"/>
            <wp:effectExtent l="0" t="0" r="2540" b="7620"/>
            <wp:docPr id="12" name="Picture 12" descr="The parable of the prodigal son 1 - Gospel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5913" cy="1482090"/>
                    </a:xfrm>
                    <a:prstGeom prst="rect">
                      <a:avLst/>
                    </a:prstGeom>
                  </pic:spPr>
                </pic:pic>
              </a:graphicData>
            </a:graphic>
          </wp:inline>
        </w:drawing>
      </w:r>
    </w:p>
    <w:p w14:paraId="5D027E27" w14:textId="77777777" w:rsidR="00FB6CEA" w:rsidRPr="003400DF" w:rsidRDefault="0030531C" w:rsidP="00BC57B0">
      <w:pPr>
        <w:jc w:val="center"/>
      </w:pPr>
      <w:r>
        <w:rPr>
          <w:noProof/>
        </w:rPr>
        <w:drawing>
          <wp:inline distT="0" distB="0" distL="0" distR="0" wp14:anchorId="275DC396" wp14:editId="521061BD">
            <wp:extent cx="1055054" cy="1318260"/>
            <wp:effectExtent l="0" t="0" r="0" b="0"/>
            <wp:docPr id="13" name="Picture 13" descr="Catholic All Year: Living the Corporal and Spiritual Works of Mercy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tholic All Year: Living the Corporal and Spiritual Works of Mercy i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72" cy="1323406"/>
                    </a:xfrm>
                    <a:prstGeom prst="rect">
                      <a:avLst/>
                    </a:prstGeom>
                    <a:noFill/>
                    <a:ln>
                      <a:noFill/>
                    </a:ln>
                  </pic:spPr>
                </pic:pic>
              </a:graphicData>
            </a:graphic>
          </wp:inline>
        </w:drawing>
      </w:r>
    </w:p>
    <w:p w14:paraId="43AE881E" w14:textId="77777777" w:rsidR="00FB6CEA" w:rsidRDefault="00FB6CEA" w:rsidP="00FB6CEA">
      <w:pPr>
        <w:jc w:val="center"/>
      </w:pPr>
    </w:p>
    <w:p w14:paraId="19A8BA99" w14:textId="77777777" w:rsidR="00A64EB8" w:rsidRDefault="00A64EB8"/>
    <w:p w14:paraId="790B2EEF" w14:textId="77777777" w:rsidR="00A64EB8" w:rsidRDefault="00A64EB8" w:rsidP="00A64EB8"/>
    <w:p w14:paraId="3D147F3C" w14:textId="77777777" w:rsidR="00C338F2" w:rsidRPr="00A64EB8" w:rsidRDefault="00A64EB8" w:rsidP="00A64EB8">
      <w:pPr>
        <w:tabs>
          <w:tab w:val="left" w:pos="3161"/>
        </w:tabs>
      </w:pPr>
      <w:r>
        <w:rPr>
          <w:noProof/>
        </w:rPr>
        <mc:AlternateContent>
          <mc:Choice Requires="wps">
            <w:drawing>
              <wp:inline distT="0" distB="0" distL="114300" distR="114300" wp14:anchorId="5180EA22" wp14:editId="1B309CE9">
                <wp:extent cx="2640330" cy="1162050"/>
                <wp:effectExtent l="19050" t="19050" r="26670" b="19050"/>
                <wp:docPr id="1882414116" name="Rectangle: Rounded Corners 3"/>
                <wp:cNvGraphicFramePr/>
                <a:graphic xmlns:a="http://schemas.openxmlformats.org/drawingml/2006/main">
                  <a:graphicData uri="http://schemas.microsoft.com/office/word/2010/wordprocessingShape">
                    <wps:wsp>
                      <wps:cNvSpPr/>
                      <wps:spPr>
                        <a:xfrm>
                          <a:off x="0" y="0"/>
                          <a:ext cx="2640330" cy="116205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5BC60" w14:textId="77777777" w:rsidR="00000000" w:rsidRPr="00E12F6E" w:rsidRDefault="00000000" w:rsidP="00FB6CEA">
                            <w:pPr>
                              <w:jc w:val="center"/>
                              <w:rPr>
                                <w:rFonts w:ascii="Twinkl" w:hAnsi="Twinkl"/>
                                <w:b/>
                                <w:color w:val="000000" w:themeColor="text1"/>
                                <w:sz w:val="18"/>
                                <w:szCs w:val="18"/>
                              </w:rPr>
                            </w:pPr>
                            <w:r w:rsidRPr="00E12F6E">
                              <w:rPr>
                                <w:rFonts w:ascii="Twinkl" w:hAnsi="Twinkl"/>
                                <w:b/>
                                <w:color w:val="000000" w:themeColor="text1"/>
                                <w:sz w:val="18"/>
                                <w:szCs w:val="18"/>
                              </w:rPr>
                              <w:t>Key Vocabulary</w:t>
                            </w:r>
                          </w:p>
                          <w:p w14:paraId="7BE87168" w14:textId="77777777" w:rsidR="00000000" w:rsidRPr="00E12F6E" w:rsidRDefault="00000000" w:rsidP="0030531C">
                            <w:pPr>
                              <w:jc w:val="center"/>
                              <w:rPr>
                                <w:rFonts w:ascii="Twinkl" w:hAnsi="Twinkl"/>
                                <w:color w:val="000000" w:themeColor="text1"/>
                                <w:sz w:val="18"/>
                                <w:szCs w:val="18"/>
                              </w:rPr>
                            </w:pPr>
                            <w:r w:rsidRPr="00E12F6E">
                              <w:rPr>
                                <w:rFonts w:ascii="Twinkl" w:hAnsi="Twinkl"/>
                                <w:color w:val="000000" w:themeColor="text1"/>
                                <w:sz w:val="18"/>
                                <w:szCs w:val="18"/>
                              </w:rPr>
                              <w:t>Lent</w:t>
                            </w:r>
                            <w:r w:rsidRPr="00E12F6E">
                              <w:rPr>
                                <w:rFonts w:ascii="Twinkl" w:hAnsi="Twinkl"/>
                                <w:color w:val="000000" w:themeColor="text1"/>
                                <w:sz w:val="18"/>
                                <w:szCs w:val="18"/>
                              </w:rPr>
                              <w:tab/>
                            </w:r>
                            <w:r w:rsidRPr="00E12F6E">
                              <w:rPr>
                                <w:rFonts w:ascii="Twinkl" w:hAnsi="Twinkl"/>
                                <w:color w:val="000000" w:themeColor="text1"/>
                                <w:sz w:val="18"/>
                                <w:szCs w:val="18"/>
                              </w:rPr>
                              <w:tab/>
                              <w:t>Holy Week</w:t>
                            </w:r>
                            <w:r w:rsidRPr="00E12F6E">
                              <w:rPr>
                                <w:rFonts w:ascii="Twinkl" w:hAnsi="Twinkl"/>
                                <w:color w:val="000000" w:themeColor="text1"/>
                                <w:sz w:val="18"/>
                                <w:szCs w:val="18"/>
                              </w:rPr>
                              <w:tab/>
                              <w:t xml:space="preserve">   parable</w:t>
                            </w:r>
                          </w:p>
                          <w:p w14:paraId="1F53AE60" w14:textId="77777777" w:rsidR="00000000" w:rsidRPr="00E12F6E" w:rsidRDefault="00000000" w:rsidP="0030531C">
                            <w:pPr>
                              <w:jc w:val="center"/>
                              <w:rPr>
                                <w:rFonts w:ascii="Twinkl" w:hAnsi="Twinkl"/>
                                <w:color w:val="000000" w:themeColor="text1"/>
                                <w:sz w:val="18"/>
                                <w:szCs w:val="18"/>
                              </w:rPr>
                            </w:pPr>
                            <w:r w:rsidRPr="00E12F6E">
                              <w:rPr>
                                <w:rFonts w:ascii="Twinkl" w:hAnsi="Twinkl"/>
                                <w:color w:val="000000" w:themeColor="text1"/>
                                <w:sz w:val="18"/>
                                <w:szCs w:val="18"/>
                              </w:rPr>
                              <w:t xml:space="preserve">sin </w:t>
                            </w:r>
                            <w:r w:rsidRPr="00E12F6E">
                              <w:rPr>
                                <w:rFonts w:ascii="Twinkl" w:hAnsi="Twinkl"/>
                                <w:color w:val="000000" w:themeColor="text1"/>
                                <w:sz w:val="18"/>
                                <w:szCs w:val="18"/>
                              </w:rPr>
                              <w:tab/>
                            </w:r>
                            <w:r w:rsidRPr="00E12F6E">
                              <w:rPr>
                                <w:rFonts w:ascii="Twinkl" w:hAnsi="Twinkl"/>
                                <w:color w:val="000000" w:themeColor="text1"/>
                                <w:sz w:val="18"/>
                                <w:szCs w:val="18"/>
                              </w:rPr>
                              <w:t>forgiveness</w:t>
                            </w:r>
                            <w:r w:rsidRPr="00E12F6E">
                              <w:rPr>
                                <w:rFonts w:ascii="Twinkl" w:hAnsi="Twinkl"/>
                                <w:color w:val="000000" w:themeColor="text1"/>
                                <w:sz w:val="18"/>
                                <w:szCs w:val="18"/>
                              </w:rPr>
                              <w:tab/>
                            </w:r>
                            <w:r w:rsidRPr="00E12F6E">
                              <w:rPr>
                                <w:rFonts w:ascii="Twinkl" w:hAnsi="Twinkl"/>
                                <w:color w:val="000000" w:themeColor="text1"/>
                                <w:sz w:val="18"/>
                                <w:szCs w:val="18"/>
                              </w:rPr>
                              <w:tab/>
                              <w:t>mercy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80EA22" id="Rectangle: Rounded Corners 3" o:spid="_x0000_s1026" style="width:207.9pt;height: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" filled="f" strokecolor="#0070c0" strokeweight="3pt">
                <v:stroke joinstyle="miter"/>
                <v:textbox>
                  <w:txbxContent>
                    <w:p w14:paraId="2B15BC60" w14:textId="77777777" w:rsidR="00000000" w:rsidRPr="00E12F6E" w:rsidRDefault="00000000" w:rsidP="00FB6CEA">
                      <w:pPr>
                        <w:jc w:val="center"/>
                        <w:rPr>
                          <w:rFonts w:ascii="Twinkl" w:hAnsi="Twinkl"/>
                          <w:b/>
                          <w:color w:val="000000" w:themeColor="text1"/>
                          <w:sz w:val="18"/>
                          <w:szCs w:val="18"/>
                        </w:rPr>
                      </w:pPr>
                      <w:r w:rsidRPr="00E12F6E">
                        <w:rPr>
                          <w:rFonts w:ascii="Twinkl" w:hAnsi="Twinkl"/>
                          <w:b/>
                          <w:color w:val="000000" w:themeColor="text1"/>
                          <w:sz w:val="18"/>
                          <w:szCs w:val="18"/>
                        </w:rPr>
                        <w:t>Key Vocabulary</w:t>
                      </w:r>
                    </w:p>
                    <w:p w14:paraId="7BE87168" w14:textId="77777777" w:rsidR="00000000" w:rsidRPr="00E12F6E" w:rsidRDefault="00000000" w:rsidP="0030531C">
                      <w:pPr>
                        <w:jc w:val="center"/>
                        <w:rPr>
                          <w:rFonts w:ascii="Twinkl" w:hAnsi="Twinkl"/>
                          <w:color w:val="000000" w:themeColor="text1"/>
                          <w:sz w:val="18"/>
                          <w:szCs w:val="18"/>
                        </w:rPr>
                      </w:pPr>
                      <w:r w:rsidRPr="00E12F6E">
                        <w:rPr>
                          <w:rFonts w:ascii="Twinkl" w:hAnsi="Twinkl"/>
                          <w:color w:val="000000" w:themeColor="text1"/>
                          <w:sz w:val="18"/>
                          <w:szCs w:val="18"/>
                        </w:rPr>
                        <w:t>Lent</w:t>
                      </w:r>
                      <w:r w:rsidRPr="00E12F6E">
                        <w:rPr>
                          <w:rFonts w:ascii="Twinkl" w:hAnsi="Twinkl"/>
                          <w:color w:val="000000" w:themeColor="text1"/>
                          <w:sz w:val="18"/>
                          <w:szCs w:val="18"/>
                        </w:rPr>
                        <w:tab/>
                      </w:r>
                      <w:r w:rsidRPr="00E12F6E">
                        <w:rPr>
                          <w:rFonts w:ascii="Twinkl" w:hAnsi="Twinkl"/>
                          <w:color w:val="000000" w:themeColor="text1"/>
                          <w:sz w:val="18"/>
                          <w:szCs w:val="18"/>
                        </w:rPr>
                        <w:tab/>
                        <w:t>Holy Week</w:t>
                      </w:r>
                      <w:r w:rsidRPr="00E12F6E">
                        <w:rPr>
                          <w:rFonts w:ascii="Twinkl" w:hAnsi="Twinkl"/>
                          <w:color w:val="000000" w:themeColor="text1"/>
                          <w:sz w:val="18"/>
                          <w:szCs w:val="18"/>
                        </w:rPr>
                        <w:tab/>
                        <w:t xml:space="preserve">   parable</w:t>
                      </w:r>
                    </w:p>
                    <w:p w14:paraId="1F53AE60" w14:textId="77777777" w:rsidR="00000000" w:rsidRPr="00E12F6E" w:rsidRDefault="00000000" w:rsidP="0030531C">
                      <w:pPr>
                        <w:jc w:val="center"/>
                        <w:rPr>
                          <w:rFonts w:ascii="Twinkl" w:hAnsi="Twinkl"/>
                          <w:color w:val="000000" w:themeColor="text1"/>
                          <w:sz w:val="18"/>
                          <w:szCs w:val="18"/>
                        </w:rPr>
                      </w:pPr>
                      <w:r w:rsidRPr="00E12F6E">
                        <w:rPr>
                          <w:rFonts w:ascii="Twinkl" w:hAnsi="Twinkl"/>
                          <w:color w:val="000000" w:themeColor="text1"/>
                          <w:sz w:val="18"/>
                          <w:szCs w:val="18"/>
                        </w:rPr>
                        <w:t xml:space="preserve">sin </w:t>
                      </w:r>
                      <w:r w:rsidRPr="00E12F6E">
                        <w:rPr>
                          <w:rFonts w:ascii="Twinkl" w:hAnsi="Twinkl"/>
                          <w:color w:val="000000" w:themeColor="text1"/>
                          <w:sz w:val="18"/>
                          <w:szCs w:val="18"/>
                        </w:rPr>
                        <w:tab/>
                      </w:r>
                      <w:r w:rsidRPr="00E12F6E">
                        <w:rPr>
                          <w:rFonts w:ascii="Twinkl" w:hAnsi="Twinkl"/>
                          <w:color w:val="000000" w:themeColor="text1"/>
                          <w:sz w:val="18"/>
                          <w:szCs w:val="18"/>
                        </w:rPr>
                        <w:t>forgiveness</w:t>
                      </w:r>
                      <w:r w:rsidRPr="00E12F6E">
                        <w:rPr>
                          <w:rFonts w:ascii="Twinkl" w:hAnsi="Twinkl"/>
                          <w:color w:val="000000" w:themeColor="text1"/>
                          <w:sz w:val="18"/>
                          <w:szCs w:val="18"/>
                        </w:rPr>
                        <w:tab/>
                      </w:r>
                      <w:r w:rsidRPr="00E12F6E">
                        <w:rPr>
                          <w:rFonts w:ascii="Twinkl" w:hAnsi="Twinkl"/>
                          <w:color w:val="000000" w:themeColor="text1"/>
                          <w:sz w:val="18"/>
                          <w:szCs w:val="18"/>
                        </w:rPr>
                        <w:tab/>
                        <w:t>mercy</w:t>
                      </w:r>
                    </w:p>
                  </w:txbxContent>
                </v:textbox>
                <w10:anchorlock/>
              </v:roundrect>
            </w:pict>
          </mc:Fallback>
        </mc:AlternateContent>
      </w:r>
    </w:p>
    <w:sectPr w:rsidR="00C338F2" w:rsidRPr="00A64EB8"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2D7963"/>
    <w:rsid w:val="0030531C"/>
    <w:rsid w:val="00416B90"/>
    <w:rsid w:val="004C5750"/>
    <w:rsid w:val="005A356E"/>
    <w:rsid w:val="005B090A"/>
    <w:rsid w:val="0062565C"/>
    <w:rsid w:val="00820F74"/>
    <w:rsid w:val="009333CD"/>
    <w:rsid w:val="00A64EB8"/>
    <w:rsid w:val="00B336A5"/>
    <w:rsid w:val="00BA47E2"/>
    <w:rsid w:val="00BC57B0"/>
    <w:rsid w:val="00C338F2"/>
    <w:rsid w:val="00C73BF1"/>
    <w:rsid w:val="00D00496"/>
    <w:rsid w:val="00DA567A"/>
    <w:rsid w:val="00DF7EA7"/>
    <w:rsid w:val="00E12F6E"/>
    <w:rsid w:val="00EC0B3A"/>
    <w:rsid w:val="00F15BD2"/>
    <w:rsid w:val="00FB6CEA"/>
    <w:rsid w:val="00FD3337"/>
    <w:rsid w:val="02BB7287"/>
    <w:rsid w:val="2B25FCA0"/>
    <w:rsid w:val="364406E3"/>
    <w:rsid w:val="4AE0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A239"/>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diagramData" Target="diagrams/data1.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0A991CFB-08DF-4AB3-8B34-5E8ED86C2243}">
      <dgm:prSet phldrT="[Text]"/>
      <dgm:spPr>
        <a:solidFill>
          <a:srgbClr val="7030A0"/>
        </a:solidFill>
      </dgm:spPr>
      <dgm:t>
        <a:bodyPr/>
        <a:lstStyle/>
        <a:p>
          <a:r>
            <a:rPr lang="en-GB">
              <a:latin typeface="Twinkl" pitchFamily="2" charset="0"/>
            </a:rPr>
            <a:t>Remember in Year 3,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dgm:spPr>
        <a:solidFill>
          <a:srgbClr val="CC66FF">
            <a:alpha val="89804"/>
          </a:srgbClr>
        </a:solidFill>
      </dgm:spPr>
      <dgm:t>
        <a:bodyPr/>
        <a:lstStyle/>
        <a:p>
          <a:pPr algn="l"/>
          <a:r>
            <a:rPr lang="en-GB">
              <a:latin typeface="Twinkl" pitchFamily="2" charset="0"/>
            </a:rPr>
            <a:t>About the Liturgy of the Eucharist.</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a:solidFill>
          <a:srgbClr val="CC66FF">
            <a:alpha val="90000"/>
          </a:srgbClr>
        </a:solidFill>
      </dgm:spPr>
      <dgm:t>
        <a:bodyPr/>
        <a:lstStyle/>
        <a:p>
          <a:r>
            <a:rPr lang="en-GB" sz="2000" b="1">
              <a:latin typeface="Twinkl" pitchFamily="2" charset="0"/>
            </a:rPr>
            <a:t> Desert to Garden</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a:solidFill>
          <a:srgbClr val="7030A0"/>
        </a:solidFill>
      </dgm:spPr>
      <dgm:t>
        <a:bodyPr/>
        <a:lstStyle/>
        <a:p>
          <a:r>
            <a:rPr lang="en-GB">
              <a:latin typeface="Twinkl" pitchFamily="2" charset="0"/>
            </a:rPr>
            <a:t>Later, in Year 5,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a:solidFill>
          <a:srgbClr val="CC66FF">
            <a:alpha val="90000"/>
          </a:srgbClr>
        </a:solidFill>
      </dgm:spPr>
      <dgm:t>
        <a:bodyPr/>
        <a:lstStyle/>
        <a:p>
          <a:pPr algn="l"/>
          <a:r>
            <a:rPr lang="en-GB">
              <a:latin typeface="Twinkl" panose="02000000000000000000" pitchFamily="2" charset="0"/>
            </a:rPr>
            <a:t>Lent is a time when Christians reflect on their sins and listen to God’s call to return to him.</a:t>
          </a: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a:solidFill>
          <a:srgbClr val="7030A0"/>
        </a:solidFill>
      </dgm:spPr>
      <dgm:t>
        <a:bodyPr/>
        <a:lstStyle/>
        <a:p>
          <a:r>
            <a:rPr lang="en-GB" sz="1800">
              <a:latin typeface="Twinkl" pitchFamily="2" charset="0"/>
            </a:rPr>
            <a:t>Year 4</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2036820" y="0"/>
          <a:ext cx="1255288" cy="1097280"/>
        </a:xfrm>
        <a:prstGeom prst="rightArrow">
          <a:avLst>
            <a:gd name="adj1" fmla="val 70000"/>
            <a:gd name="adj2" fmla="val 50000"/>
          </a:avLst>
        </a:prstGeom>
        <a:solidFill>
          <a:srgbClr val="CC66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l" defTabSz="311150">
            <a:lnSpc>
              <a:spcPct val="90000"/>
            </a:lnSpc>
            <a:spcBef>
              <a:spcPct val="0"/>
            </a:spcBef>
            <a:spcAft>
              <a:spcPct val="35000"/>
            </a:spcAft>
            <a:buNone/>
          </a:pPr>
          <a:r>
            <a:rPr lang="en-GB" sz="700" kern="1200">
              <a:latin typeface="Twinkl" pitchFamily="2" charset="0"/>
            </a:rPr>
            <a:t>About the Liturgy of the Eucharist.</a:t>
          </a:r>
        </a:p>
      </dsp:txBody>
      <dsp:txXfrm>
        <a:off x="2350642" y="164592"/>
        <a:ext cx="611953" cy="768096"/>
      </dsp:txXfrm>
    </dsp:sp>
    <dsp:sp modelId="{A97233A5-198C-4767-84D4-A66FBD220CC7}">
      <dsp:nvSpPr>
        <dsp:cNvPr id="0" name=""/>
        <dsp:cNvSpPr/>
      </dsp:nvSpPr>
      <dsp:spPr>
        <a:xfrm>
          <a:off x="1722998" y="234817"/>
          <a:ext cx="627644" cy="62764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Twinkl" pitchFamily="2" charset="0"/>
            </a:rPr>
            <a:t>Remember in Year 3, we learned:</a:t>
          </a:r>
        </a:p>
      </dsp:txBody>
      <dsp:txXfrm>
        <a:off x="1814914" y="326733"/>
        <a:ext cx="443812" cy="443812"/>
      </dsp:txXfrm>
    </dsp:sp>
    <dsp:sp modelId="{D6ABFA2E-9887-43D9-A0BB-4805B7F5DC16}">
      <dsp:nvSpPr>
        <dsp:cNvPr id="0" name=""/>
        <dsp:cNvSpPr/>
      </dsp:nvSpPr>
      <dsp:spPr>
        <a:xfrm>
          <a:off x="3888069" y="0"/>
          <a:ext cx="1788472" cy="1097280"/>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Desert to Garden</a:t>
          </a:r>
          <a:endParaRPr lang="en-GB" sz="2000" kern="1200">
            <a:latin typeface="Twinkl" pitchFamily="2" charset="0"/>
          </a:endParaRPr>
        </a:p>
      </dsp:txBody>
      <dsp:txXfrm>
        <a:off x="4335187" y="164592"/>
        <a:ext cx="957306" cy="768096"/>
      </dsp:txXfrm>
    </dsp:sp>
    <dsp:sp modelId="{4A17EB36-6969-4335-AD71-56F173ADA43E}">
      <dsp:nvSpPr>
        <dsp:cNvPr id="0" name=""/>
        <dsp:cNvSpPr/>
      </dsp:nvSpPr>
      <dsp:spPr>
        <a:xfrm>
          <a:off x="3770348" y="234817"/>
          <a:ext cx="627644" cy="62764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4</a:t>
          </a:r>
        </a:p>
      </dsp:txBody>
      <dsp:txXfrm>
        <a:off x="3862264" y="326733"/>
        <a:ext cx="443812" cy="443812"/>
      </dsp:txXfrm>
    </dsp:sp>
    <dsp:sp modelId="{80CEC703-EAEE-4653-BA80-DE39DCBB3CC5}">
      <dsp:nvSpPr>
        <dsp:cNvPr id="0" name=""/>
        <dsp:cNvSpPr/>
      </dsp:nvSpPr>
      <dsp:spPr>
        <a:xfrm>
          <a:off x="6585990" y="0"/>
          <a:ext cx="1255288" cy="1097280"/>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l" defTabSz="311150">
            <a:lnSpc>
              <a:spcPct val="90000"/>
            </a:lnSpc>
            <a:spcBef>
              <a:spcPct val="0"/>
            </a:spcBef>
            <a:spcAft>
              <a:spcPct val="35000"/>
            </a:spcAft>
            <a:buNone/>
          </a:pPr>
          <a:r>
            <a:rPr lang="en-GB" sz="700" kern="1200">
              <a:latin typeface="Twinkl" panose="02000000000000000000" pitchFamily="2" charset="0"/>
            </a:rPr>
            <a:t>Lent is a time when Christians reflect on their sins and listen to God’s call to return to him.</a:t>
          </a:r>
        </a:p>
      </dsp:txBody>
      <dsp:txXfrm>
        <a:off x="6899812" y="164592"/>
        <a:ext cx="611953" cy="768096"/>
      </dsp:txXfrm>
    </dsp:sp>
    <dsp:sp modelId="{61A1BAD0-F367-4439-A0EB-E76F8EEE49CC}">
      <dsp:nvSpPr>
        <dsp:cNvPr id="0" name=""/>
        <dsp:cNvSpPr/>
      </dsp:nvSpPr>
      <dsp:spPr>
        <a:xfrm>
          <a:off x="6272162" y="253571"/>
          <a:ext cx="627644" cy="62764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Twinkl" pitchFamily="2" charset="0"/>
            </a:rPr>
            <a:t>Later, in Year 5, you will learn:</a:t>
          </a:r>
        </a:p>
      </dsp:txBody>
      <dsp:txXfrm>
        <a:off x="6364078" y="345487"/>
        <a:ext cx="443812" cy="44381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1BD7E01322A4D92E72C0B1999B8F1" ma:contentTypeVersion="8" ma:contentTypeDescription="Create a new document." ma:contentTypeScope="" ma:versionID="d39077ef4347cff39f34ca93686cb867">
  <xsd:schema xmlns:xsd="http://www.w3.org/2001/XMLSchema" xmlns:xs="http://www.w3.org/2001/XMLSchema" xmlns:p="http://schemas.microsoft.com/office/2006/metadata/properties" xmlns:ns2="cef91b65-dc82-4e10-b546-a7f4a42520aa" targetNamespace="http://schemas.microsoft.com/office/2006/metadata/properties" ma:root="true" ma:fieldsID="2f58a20d0ece479f8e3a28b0d9542488" ns2:_="">
    <xsd:import namespace="cef91b65-dc82-4e10-b546-a7f4a4252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1b65-dc82-4e10-b546-a7f4a425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3555B-E046-4161-A2DF-FACFA7F3EC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7B55F-5029-450E-9E3F-4575A8F670CD}">
  <ds:schemaRefs>
    <ds:schemaRef ds:uri="http://schemas.microsoft.com/sharepoint/v3/contenttype/forms"/>
  </ds:schemaRefs>
</ds:datastoreItem>
</file>

<file path=customXml/itemProps3.xml><?xml version="1.0" encoding="utf-8"?>
<ds:datastoreItem xmlns:ds="http://schemas.openxmlformats.org/officeDocument/2006/customXml" ds:itemID="{0EA7978F-526E-4296-B3C8-5C6EBFE7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1b65-dc82-4e10-b546-a7f4a4252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Claire Earp - St Georges</cp:lastModifiedBy>
  <cp:revision>3</cp:revision>
  <cp:lastPrinted>2023-09-04T08:58:00Z</cp:lastPrinted>
  <dcterms:created xsi:type="dcterms:W3CDTF">2025-08-14T11:05:00Z</dcterms:created>
  <dcterms:modified xsi:type="dcterms:W3CDTF">2025-08-14T11:07:00Z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0x0101003071BD7E01322A4D92E72C0B1999B8F1</vt:lpwstr>
  </property>
</Properties>
</file>